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media/image2.jpeg" ContentType="image/jpeg"/>
  <Override PartName="/word/media/image3.jpeg" ContentType="image/jpeg"/>
  <Override PartName="/word/media/image1.jpeg" ContentType="image/jpeg"/>
  <Override PartName="/word/footer2.xml" ContentType="application/vnd.openxmlformats-officedocument.wordprocessingml.footer+xml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Style18"/>
        <w:jc w:val="center"/>
        <w:rPr>
          <w:rFonts w:ascii="Times New Roman" w:hAnsi="Times New Roman" w:cs="Times New Roman"/>
          <w:b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>Российская Автомобильная Федерация</w:t>
      </w:r>
    </w:p>
    <w:p>
      <w:pPr>
        <w:pStyle w:val="Style18"/>
        <w:jc w:val="center"/>
        <w:rPr>
          <w:rFonts w:ascii="Times New Roman" w:hAnsi="Times New Roman" w:cs="Times New Roman"/>
          <w:b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>Министерство спорта Нижегородской Области</w:t>
      </w:r>
    </w:p>
    <w:p>
      <w:pPr>
        <w:pStyle w:val="Style18"/>
        <w:jc w:val="center"/>
        <w:rPr>
          <w:rFonts w:ascii="Times New Roman" w:hAnsi="Times New Roman" w:eastAsia="SimSun;宋体" w:cs="Times New Roman"/>
          <w:b/>
          <w:b/>
          <w:bCs/>
          <w:sz w:val="28"/>
          <w:szCs w:val="28"/>
        </w:rPr>
      </w:pPr>
      <w:r>
        <w:rPr>
          <w:rFonts w:eastAsia="SimSun;宋体" w:cs="Times New Roman" w:ascii="Times New Roman" w:hAnsi="Times New Roman"/>
          <w:b/>
          <w:bCs/>
          <w:sz w:val="28"/>
          <w:szCs w:val="28"/>
        </w:rPr>
        <w:t>Региональная физкультурно-спортивная общественная организация «ФРАМСНО»</w:t>
      </w:r>
    </w:p>
    <w:p>
      <w:pPr>
        <w:pStyle w:val="Style18"/>
        <w:jc w:val="center"/>
        <w:rPr/>
      </w:pPr>
      <w:r>
        <w:rPr>
          <w:rFonts w:cs="Times New Roman" w:ascii="Times New Roman" w:hAnsi="Times New Roman"/>
          <w:b/>
          <w:bCs/>
          <w:sz w:val="28"/>
          <w:szCs w:val="28"/>
        </w:rPr>
        <w:t>Автомобильный Спортивный Комплекс «Нижегородское кольцо»</w:t>
      </w:r>
    </w:p>
    <w:p>
      <w:pPr>
        <w:pStyle w:val="Style18"/>
        <w:rPr>
          <w:rFonts w:ascii="Times New Roman" w:hAnsi="Times New Roman" w:cs="Times New Roman"/>
          <w:b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</w:r>
    </w:p>
    <w:p>
      <w:pPr>
        <w:pStyle w:val="Style18"/>
        <w:rPr>
          <w:rFonts w:ascii="Times New Roman" w:hAnsi="Times New Roman" w:cs="Times New Roman"/>
          <w:b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</w:r>
    </w:p>
    <w:p>
      <w:pPr>
        <w:pStyle w:val="Normal"/>
        <w:ind w:left="-284" w:right="-192" w:hanging="0"/>
        <w:rPr>
          <w:lang w:val="en-US" w:eastAsia="en-US"/>
        </w:rPr>
      </w:pPr>
      <w:r>
        <w:rPr>
          <w:lang w:val="en-US" w:eastAsia="en-US"/>
        </w:rPr>
        <w:drawing>
          <wp:inline distT="0" distB="0" distL="0" distR="0">
            <wp:extent cx="2370455" cy="847090"/>
            <wp:effectExtent l="0" t="0" r="0" b="0"/>
            <wp:docPr id="1" name="Рисунок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8" t="-52" r="-8" b="-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0455" cy="847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lang w:val="en-US" w:eastAsia="en-US"/>
        </w:rPr>
        <w:t xml:space="preserve">       </w:t>
      </w:r>
      <w:r>
        <w:rPr>
          <w:lang w:val="en-US" w:eastAsia="en-US"/>
        </w:rPr>
        <w:drawing>
          <wp:inline distT="0" distB="0" distL="0" distR="0">
            <wp:extent cx="1561465" cy="1037590"/>
            <wp:effectExtent l="0" t="0" r="0" b="0"/>
            <wp:docPr id="2" name="Рисунок 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3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rcRect l="-21" t="-28" r="-21" b="-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1465" cy="1037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lang w:val="en-US" w:eastAsia="en-US"/>
        </w:rPr>
        <w:t xml:space="preserve">      </w:t>
      </w:r>
      <w:r>
        <w:rPr>
          <w:lang w:val="en-US" w:eastAsia="en-US"/>
        </w:rPr>
        <w:drawing>
          <wp:inline distT="0" distB="0" distL="0" distR="0">
            <wp:extent cx="2275840" cy="1113155"/>
            <wp:effectExtent l="0" t="0" r="0" b="0"/>
            <wp:docPr id="3" name="Image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1" descr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-7" t="-16" r="-7" b="-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5840" cy="1113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10474" w:type="dxa"/>
        <w:jc w:val="left"/>
        <w:tblInd w:w="-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473"/>
        <w:gridCol w:w="3404"/>
        <w:gridCol w:w="3597"/>
      </w:tblGrid>
      <w:tr>
        <w:trPr>
          <w:trHeight w:val="2694" w:hRule="atLeast"/>
          <w:cantSplit w:val="true"/>
        </w:trPr>
        <w:tc>
          <w:tcPr>
            <w:tcW w:w="3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ind w:left="142" w:hanging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УТВЕРЖДАЮ:</w:t>
            </w:r>
          </w:p>
          <w:p>
            <w:pPr>
              <w:pStyle w:val="Normal"/>
              <w:spacing w:before="0" w:after="0"/>
              <w:ind w:left="142" w:hanging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Генеральный директор ООО АСК «Нижегородское кольцо»</w:t>
            </w:r>
          </w:p>
          <w:p>
            <w:pPr>
              <w:pStyle w:val="Normal"/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spacing w:before="0" w:after="0"/>
              <w:rPr>
                <w:rFonts w:ascii="Times New Roman" w:hAnsi="Times New Roman" w:cs="Times New Roman"/>
                <w:b/>
                <w:b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___________Пигулевский С.В.</w:t>
            </w:r>
          </w:p>
          <w:p>
            <w:pPr>
              <w:pStyle w:val="Normal"/>
              <w:spacing w:before="0" w:after="0"/>
              <w:ind w:left="142" w:hanging="142"/>
              <w:jc w:val="center"/>
              <w:rPr>
                <w:rFonts w:ascii="Times New Roman" w:hAnsi="Times New Roman" w:cs="Times New Roman"/>
                <w:b/>
                <w:b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color w:val="000000"/>
                <w:sz w:val="24"/>
                <w:szCs w:val="24"/>
              </w:rPr>
            </w:r>
          </w:p>
          <w:p>
            <w:pPr>
              <w:pStyle w:val="Normal"/>
              <w:spacing w:before="0" w:after="0"/>
              <w:ind w:left="142" w:hanging="142"/>
              <w:jc w:val="center"/>
              <w:rPr>
                <w:rFonts w:ascii="Times New Roman" w:hAnsi="Times New Roman" w:cs="Times New Roman"/>
                <w:b/>
                <w:b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color w:val="000000"/>
                <w:sz w:val="24"/>
                <w:szCs w:val="24"/>
              </w:rPr>
            </w:r>
          </w:p>
          <w:p>
            <w:pPr>
              <w:pStyle w:val="Normal"/>
              <w:spacing w:before="0" w:after="0"/>
              <w:ind w:left="142" w:hanging="142"/>
              <w:jc w:val="center"/>
              <w:rPr/>
            </w:pPr>
            <w:r>
              <w:rPr>
                <w:rFonts w:cs="Times New Roman" w:ascii="Times New Roman" w:hAnsi="Times New Roman"/>
                <w:b/>
                <w:color w:val="000000"/>
                <w:sz w:val="24"/>
                <w:szCs w:val="24"/>
              </w:rPr>
              <w:t>«___»________________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2021 г.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ind w:left="142" w:hanging="14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СОГЛАСОВАНО:</w:t>
            </w:r>
          </w:p>
          <w:p>
            <w:pPr>
              <w:pStyle w:val="Normal"/>
              <w:spacing w:before="0" w:after="0"/>
              <w:ind w:left="142" w:hanging="14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Президент: </w:t>
            </w:r>
          </w:p>
          <w:p>
            <w:pPr>
              <w:pStyle w:val="Normal"/>
              <w:spacing w:before="0" w:after="0"/>
              <w:ind w:left="142" w:hanging="142"/>
              <w:rPr/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РФСОО «ФРАМСНО».</w:t>
            </w:r>
          </w:p>
          <w:p>
            <w:pPr>
              <w:pStyle w:val="Normal"/>
              <w:spacing w:before="0" w:after="0"/>
              <w:ind w:left="142" w:hanging="14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г. Нижний Новгород </w:t>
            </w:r>
          </w:p>
          <w:p>
            <w:pPr>
              <w:pStyle w:val="Normal"/>
              <w:spacing w:before="0" w:after="0"/>
              <w:ind w:left="142" w:hanging="14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  <w:p>
            <w:pPr>
              <w:pStyle w:val="Normal"/>
              <w:spacing w:before="0" w:after="0"/>
              <w:ind w:left="142" w:hanging="142"/>
              <w:rPr/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_________Пигулевский С.В.</w:t>
            </w:r>
          </w:p>
          <w:p>
            <w:pPr>
              <w:pStyle w:val="Normal"/>
              <w:spacing w:before="0" w:after="0"/>
              <w:ind w:left="142" w:hanging="14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  <w:p>
            <w:pPr>
              <w:pStyle w:val="Normal"/>
              <w:spacing w:before="0" w:after="0"/>
              <w:ind w:left="142" w:hanging="142"/>
              <w:jc w:val="center"/>
              <w:rPr>
                <w:rFonts w:ascii="Times New Roman" w:hAnsi="Times New Roman" w:cs="Times New Roman"/>
                <w:b/>
                <w:b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color w:val="000000"/>
                <w:sz w:val="24"/>
                <w:szCs w:val="24"/>
              </w:rPr>
            </w:r>
          </w:p>
          <w:p>
            <w:pPr>
              <w:pStyle w:val="Normal"/>
              <w:spacing w:before="0" w:after="0"/>
              <w:ind w:left="142" w:hanging="142"/>
              <w:jc w:val="center"/>
              <w:rPr/>
            </w:pPr>
            <w:r>
              <w:rPr>
                <w:rFonts w:cs="Times New Roman" w:ascii="Times New Roman" w:hAnsi="Times New Roman"/>
                <w:b/>
                <w:color w:val="000000"/>
                <w:sz w:val="24"/>
                <w:szCs w:val="24"/>
              </w:rPr>
              <w:t>«___»_______________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2021 г.</w:t>
            </w:r>
          </w:p>
        </w:tc>
        <w:tc>
          <w:tcPr>
            <w:tcW w:w="3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СОГЛАСОВАНО:</w:t>
            </w:r>
          </w:p>
          <w:p>
            <w:pPr>
              <w:pStyle w:val="Normal"/>
              <w:spacing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Министр спорта</w:t>
            </w:r>
          </w:p>
          <w:p>
            <w:pPr>
              <w:pStyle w:val="Normal"/>
              <w:spacing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Нижегородской области</w:t>
            </w:r>
          </w:p>
          <w:p>
            <w:pPr>
              <w:pStyle w:val="Normal"/>
              <w:spacing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  <w:p>
            <w:pPr>
              <w:pStyle w:val="Normal"/>
              <w:spacing w:before="0" w:after="0"/>
              <w:ind w:left="142" w:hanging="14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>
            <w:pPr>
              <w:pStyle w:val="Normal"/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______________А.А. Ефремов</w:t>
            </w:r>
          </w:p>
          <w:p>
            <w:pPr>
              <w:pStyle w:val="Normal"/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spacing w:before="0" w:after="0"/>
              <w:rPr>
                <w:rFonts w:ascii="Times New Roman" w:hAnsi="Times New Roman" w:cs="Times New Roman"/>
                <w:b/>
                <w:b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color w:val="000000"/>
                <w:sz w:val="24"/>
                <w:szCs w:val="24"/>
              </w:rPr>
            </w:r>
          </w:p>
          <w:p>
            <w:pPr>
              <w:pStyle w:val="Normal"/>
              <w:spacing w:before="0" w:after="0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color w:val="000000"/>
                <w:sz w:val="24"/>
                <w:szCs w:val="24"/>
              </w:rPr>
              <w:t>«___»________________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2021 г.</w:t>
            </w:r>
          </w:p>
        </w:tc>
      </w:tr>
    </w:tbl>
    <w:p>
      <w:pPr>
        <w:pStyle w:val="Normal"/>
        <w:jc w:val="center"/>
        <w:rPr>
          <w:b/>
          <w:b/>
          <w:color w:val="000000"/>
          <w:sz w:val="68"/>
          <w:szCs w:val="68"/>
        </w:rPr>
      </w:pPr>
      <w:r>
        <w:rPr>
          <w:b/>
          <w:color w:val="000000"/>
          <w:sz w:val="68"/>
          <w:szCs w:val="68"/>
        </w:rPr>
      </w:r>
    </w:p>
    <w:p>
      <w:pPr>
        <w:pStyle w:val="Normal"/>
        <w:jc w:val="center"/>
        <w:rPr>
          <w:rFonts w:ascii="Times New Roman" w:hAnsi="Times New Roman" w:cs="Times New Roman"/>
          <w:b/>
          <w:b/>
          <w:color w:val="000000"/>
          <w:sz w:val="56"/>
          <w:szCs w:val="56"/>
        </w:rPr>
      </w:pPr>
      <w:r>
        <w:rPr>
          <w:rFonts w:cs="Times New Roman" w:ascii="Times New Roman" w:hAnsi="Times New Roman"/>
          <w:b/>
          <w:color w:val="000000"/>
          <w:sz w:val="56"/>
          <w:szCs w:val="56"/>
        </w:rPr>
        <w:t>ПОЛОЖЕНИЕ</w:t>
      </w:r>
    </w:p>
    <w:p>
      <w:pPr>
        <w:pStyle w:val="Normal"/>
        <w:jc w:val="center"/>
        <w:rPr/>
      </w:pPr>
      <w:r>
        <w:rPr>
          <w:rFonts w:cs="Times New Roman" w:ascii="Times New Roman" w:hAnsi="Times New Roman"/>
          <w:b/>
          <w:color w:val="800000"/>
          <w:sz w:val="44"/>
          <w:szCs w:val="44"/>
        </w:rPr>
        <w:t>Чемпионат и первенство Нижегородской области по автомобильным кольцевым гонкам.</w:t>
      </w:r>
    </w:p>
    <w:p>
      <w:pPr>
        <w:pStyle w:val="Normal"/>
        <w:jc w:val="center"/>
        <w:rPr>
          <w:rFonts w:ascii="Times New Roman" w:hAnsi="Times New Roman" w:cs="Times New Roman"/>
          <w:b/>
          <w:b/>
          <w:color w:val="800000"/>
          <w:sz w:val="44"/>
          <w:szCs w:val="44"/>
        </w:rPr>
      </w:pPr>
      <w:r>
        <w:rPr>
          <w:rFonts w:cs="Times New Roman" w:ascii="Times New Roman" w:hAnsi="Times New Roman"/>
          <w:b/>
          <w:color w:val="800000"/>
          <w:sz w:val="44"/>
          <w:szCs w:val="44"/>
        </w:rPr>
      </w:r>
    </w:p>
    <w:p>
      <w:pPr>
        <w:pStyle w:val="Normal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по виду спорта :  «Автомобильный» 166 000 55 11Я</w:t>
      </w:r>
    </w:p>
    <w:p>
      <w:pPr>
        <w:pStyle w:val="Normal"/>
        <w:rPr>
          <w:rFonts w:ascii="Times New Roman" w:hAnsi="Times New Roman" w:cs="Times New Roman"/>
          <w:b/>
          <w:b/>
          <w:sz w:val="36"/>
          <w:szCs w:val="36"/>
        </w:rPr>
      </w:pPr>
      <w:r>
        <w:rPr>
          <w:rFonts w:cs="Times New Roman" w:ascii="Times New Roman" w:hAnsi="Times New Roman"/>
          <w:b/>
          <w:sz w:val="36"/>
          <w:szCs w:val="36"/>
        </w:rPr>
      </w:r>
    </w:p>
    <w:p>
      <w:pPr>
        <w:pStyle w:val="Normal"/>
        <w:tabs>
          <w:tab w:val="clear" w:pos="708"/>
          <w:tab w:val="left" w:pos="5940" w:leader="none"/>
        </w:tabs>
        <w:rPr>
          <w:b/>
          <w:b/>
          <w:sz w:val="36"/>
          <w:szCs w:val="36"/>
        </w:rPr>
      </w:pPr>
      <w:r>
        <w:rPr>
          <w:b/>
          <w:sz w:val="36"/>
          <w:szCs w:val="36"/>
        </w:rPr>
      </w:r>
    </w:p>
    <w:p>
      <w:pPr>
        <w:pStyle w:val="Normal"/>
        <w:rPr>
          <w:sz w:val="20"/>
          <w:szCs w:val="20"/>
        </w:rPr>
      </w:pPr>
      <w:r>
        <w:rPr/>
        <w:t xml:space="preserve">                                                                                             </w:t>
      </w:r>
    </w:p>
    <w:p>
      <w:pPr>
        <w:pStyle w:val="Normal"/>
        <w:jc w:val="center"/>
        <w:rPr/>
      </w:pPr>
      <w:r>
        <w:rPr>
          <w:b/>
          <w:color w:val="000000"/>
        </w:rPr>
        <w:t>Нижний Новгород</w:t>
      </w:r>
    </w:p>
    <w:p>
      <w:pPr>
        <w:pStyle w:val="Normal"/>
        <w:jc w:val="center"/>
        <w:rPr>
          <w:b/>
          <w:b/>
          <w:color w:val="000000"/>
        </w:rPr>
      </w:pPr>
      <w:r>
        <w:rPr>
          <w:b/>
          <w:color w:val="000000"/>
        </w:rPr>
        <w:t>2021 г.</w:t>
      </w:r>
    </w:p>
    <w:p>
      <w:pPr>
        <w:pStyle w:val="Normal"/>
        <w:jc w:val="center"/>
        <w:rPr>
          <w:b/>
          <w:b/>
          <w:color w:val="000000"/>
        </w:rPr>
      </w:pPr>
      <w:r>
        <w:rPr>
          <w:b/>
          <w:color w:val="000000"/>
        </w:rPr>
      </w:r>
    </w:p>
    <w:p>
      <w:pPr>
        <w:pStyle w:val="Normal"/>
        <w:autoSpaceDE w:val="false"/>
        <w:spacing w:lineRule="auto" w:line="240" w:before="0" w:after="0"/>
        <w:rPr>
          <w:rFonts w:ascii="Times New Roman" w:hAnsi="Times New Roman" w:eastAsia="Arial-BoldMT;MS Mincho" w:cs="Times New Roman"/>
          <w:b/>
          <w:b/>
          <w:bCs/>
          <w:color w:val="000000"/>
          <w:sz w:val="28"/>
          <w:szCs w:val="28"/>
        </w:rPr>
      </w:pPr>
      <w:r>
        <w:rPr>
          <w:rFonts w:eastAsia="Arial-BoldMT;MS Mincho" w:cs="Times New Roman" w:ascii="Times New Roman" w:hAnsi="Times New Roman"/>
          <w:b/>
          <w:bCs/>
          <w:color w:val="000000"/>
          <w:sz w:val="28"/>
          <w:szCs w:val="28"/>
        </w:rPr>
      </w:r>
    </w:p>
    <w:p>
      <w:pPr>
        <w:pStyle w:val="Normal"/>
        <w:autoSpaceDE w:val="false"/>
        <w:spacing w:lineRule="auto" w:line="240" w:before="0" w:after="0"/>
        <w:jc w:val="center"/>
        <w:rPr>
          <w:rFonts w:ascii="Times New Roman" w:hAnsi="Times New Roman" w:eastAsia="Arial-BoldMT;MS Mincho" w:cs="Times New Roman"/>
          <w:b/>
          <w:b/>
          <w:bCs/>
          <w:sz w:val="28"/>
          <w:szCs w:val="28"/>
        </w:rPr>
      </w:pPr>
      <w:r>
        <w:rPr>
          <w:rFonts w:eastAsia="Arial-BoldMT;MS Mincho" w:cs="Times New Roman" w:ascii="Times New Roman" w:hAnsi="Times New Roman"/>
          <w:b/>
          <w:bCs/>
          <w:sz w:val="28"/>
          <w:szCs w:val="28"/>
        </w:rPr>
      </w:r>
    </w:p>
    <w:p>
      <w:pPr>
        <w:pStyle w:val="Normal"/>
        <w:autoSpaceDE w:val="false"/>
        <w:spacing w:lineRule="auto" w:line="240" w:before="0" w:after="0"/>
        <w:jc w:val="center"/>
        <w:rPr>
          <w:rFonts w:ascii="Times New Roman" w:hAnsi="Times New Roman" w:eastAsia="Arial-BoldMT;MS Mincho" w:cs="Times New Roman"/>
          <w:b/>
          <w:b/>
          <w:bCs/>
          <w:sz w:val="28"/>
          <w:szCs w:val="28"/>
        </w:rPr>
      </w:pPr>
      <w:r>
        <w:rPr>
          <w:rFonts w:eastAsia="Arial-BoldMT;MS Mincho" w:cs="Times New Roman" w:ascii="Times New Roman" w:hAnsi="Times New Roman"/>
          <w:b/>
          <w:bCs/>
          <w:sz w:val="28"/>
          <w:szCs w:val="28"/>
        </w:rPr>
        <w:t>ПОЛОЖЕНИЕ ЧЕМПИОНАТА НИЖЕГОРОДСКОЙ ОБЛАСТИ 2021 ГОДА ПО АВТОМОБИЛЬНЫМ КОЛЬЦЕВЫМ ГОНКАМ.</w:t>
      </w:r>
    </w:p>
    <w:p>
      <w:pPr>
        <w:pStyle w:val="Normal"/>
        <w:autoSpaceDE w:val="false"/>
        <w:spacing w:lineRule="auto" w:line="240" w:before="0" w:after="0"/>
        <w:rPr>
          <w:rFonts w:ascii="Times New Roman" w:hAnsi="Times New Roman" w:eastAsia="Arial-BoldMT;MS Mincho" w:cs="Times New Roman"/>
          <w:b/>
          <w:b/>
          <w:bCs/>
          <w:sz w:val="20"/>
          <w:szCs w:val="20"/>
        </w:rPr>
      </w:pPr>
      <w:r>
        <w:rPr>
          <w:rFonts w:eastAsia="Arial-BoldMT;MS Mincho" w:cs="Times New Roman" w:ascii="Times New Roman" w:hAnsi="Times New Roman"/>
          <w:b/>
          <w:bCs/>
          <w:sz w:val="20"/>
          <w:szCs w:val="20"/>
        </w:rPr>
      </w:r>
    </w:p>
    <w:p>
      <w:pPr>
        <w:pStyle w:val="Normal"/>
        <w:autoSpaceDE w:val="false"/>
        <w:spacing w:lineRule="auto" w:line="240" w:before="0" w:after="0"/>
        <w:rPr>
          <w:rFonts w:ascii="Times New Roman" w:hAnsi="Times New Roman" w:eastAsia="Arial-BoldMT;MS Mincho" w:cs="Times New Roman"/>
          <w:b/>
          <w:b/>
          <w:bCs/>
          <w:sz w:val="20"/>
          <w:szCs w:val="20"/>
        </w:rPr>
      </w:pPr>
      <w:r>
        <w:rPr>
          <w:rFonts w:eastAsia="Arial-BoldMT;MS Mincho" w:cs="Times New Roman" w:ascii="Times New Roman" w:hAnsi="Times New Roman"/>
          <w:b/>
          <w:bCs/>
          <w:sz w:val="20"/>
          <w:szCs w:val="20"/>
        </w:rPr>
      </w:r>
    </w:p>
    <w:p>
      <w:pPr>
        <w:pStyle w:val="Normal"/>
        <w:autoSpaceDE w:val="false"/>
        <w:spacing w:lineRule="auto" w:line="240" w:before="0" w:after="0"/>
        <w:rPr>
          <w:rFonts w:ascii="Times New Roman" w:hAnsi="Times New Roman" w:eastAsia="Arial-BoldMT;MS Mincho" w:cs="Times New Roman"/>
          <w:b/>
          <w:b/>
          <w:bCs/>
          <w:sz w:val="24"/>
          <w:szCs w:val="24"/>
        </w:rPr>
      </w:pPr>
      <w:r>
        <w:rPr>
          <w:rFonts w:eastAsia="Arial-BoldMT;MS Mincho" w:cs="Times New Roman" w:ascii="Times New Roman" w:hAnsi="Times New Roman"/>
          <w:b/>
          <w:bCs/>
          <w:sz w:val="24"/>
          <w:szCs w:val="24"/>
        </w:rPr>
        <w:t xml:space="preserve">1. </w:t>
      </w:r>
      <w:r>
        <w:rPr>
          <w:rFonts w:cs="Times New Roman" w:ascii="Times New Roman" w:hAnsi="Times New Roman"/>
          <w:b/>
        </w:rPr>
        <w:t>ОБЩИЕ ПОЛОЖЕНИЯ</w:t>
      </w:r>
    </w:p>
    <w:p>
      <w:pPr>
        <w:pStyle w:val="Normal"/>
        <w:autoSpaceDE w:val="false"/>
        <w:spacing w:lineRule="auto" w:line="240" w:before="0" w:after="0"/>
        <w:rPr>
          <w:rFonts w:ascii="Times New Roman" w:hAnsi="Times New Roman" w:eastAsia="Arial-BoldMT;MS Mincho" w:cs="Times New Roman"/>
          <w:b/>
          <w:b/>
          <w:bCs/>
          <w:sz w:val="24"/>
          <w:szCs w:val="24"/>
        </w:rPr>
      </w:pPr>
      <w:r>
        <w:rPr>
          <w:rFonts w:eastAsia="Arial-BoldMT;MS Mincho" w:cs="Times New Roman" w:ascii="Times New Roman" w:hAnsi="Times New Roman"/>
          <w:b/>
          <w:bCs/>
          <w:sz w:val="24"/>
          <w:szCs w:val="24"/>
        </w:rPr>
        <w:t xml:space="preserve">2. </w:t>
      </w:r>
      <w:r>
        <w:rPr>
          <w:rFonts w:cs="Times New Roman" w:ascii="Times New Roman" w:hAnsi="Times New Roman"/>
          <w:b/>
        </w:rPr>
        <w:t>РУКОВОДСТВО ПРОВЕДЕНИЕМ СПОРТИВНЫХ СОРЕВНОВАНИЙ</w:t>
      </w:r>
      <w:r>
        <w:rPr>
          <w:rFonts w:eastAsia="Arial-BoldMT;MS Mincho" w:cs="Times New Roman" w:ascii="Times New Roman" w:hAnsi="Times New Roman"/>
          <w:b/>
          <w:bCs/>
          <w:sz w:val="24"/>
          <w:szCs w:val="24"/>
        </w:rPr>
        <w:t xml:space="preserve"> </w:t>
      </w:r>
    </w:p>
    <w:p>
      <w:pPr>
        <w:pStyle w:val="Normal"/>
        <w:autoSpaceDE w:val="false"/>
        <w:spacing w:lineRule="auto" w:line="240" w:before="0" w:after="0"/>
        <w:rPr>
          <w:rFonts w:ascii="Times New Roman" w:hAnsi="Times New Roman" w:eastAsia="Arial-BoldMT;MS Mincho" w:cs="Times New Roman"/>
          <w:b/>
          <w:b/>
          <w:bCs/>
          <w:sz w:val="24"/>
          <w:szCs w:val="24"/>
        </w:rPr>
      </w:pPr>
      <w:r>
        <w:rPr>
          <w:rFonts w:eastAsia="Arial-BoldMT;MS Mincho" w:cs="Times New Roman" w:ascii="Times New Roman" w:hAnsi="Times New Roman"/>
          <w:b/>
          <w:bCs/>
          <w:sz w:val="24"/>
          <w:szCs w:val="24"/>
        </w:rPr>
        <w:t xml:space="preserve">3. </w:t>
      </w:r>
      <w:r>
        <w:rPr>
          <w:rFonts w:cs="Times New Roman" w:ascii="Times New Roman" w:hAnsi="Times New Roman"/>
          <w:b/>
        </w:rPr>
        <w:t>ОБЕСПЕЧЕНИЕ БЕЗОПАСНОСТИ УЧАСТНИКОВ И ЗРИТЕЛЕЙ, МЕДИЦИНСКОЕ ОБЕСПЕЧЕНИЕ, АНТИДОПИНГОВОЕ ОБЕСПЕЧЕНИЕ СПОРТИВНЫХ СОРЕВНОВАНИЙ</w:t>
      </w:r>
    </w:p>
    <w:p>
      <w:pPr>
        <w:pStyle w:val="Normal"/>
        <w:autoSpaceDE w:val="false"/>
        <w:spacing w:lineRule="auto" w:line="240" w:before="0" w:after="0"/>
        <w:rPr>
          <w:rFonts w:ascii="Times New Roman" w:hAnsi="Times New Roman" w:eastAsia="Arial-BoldMT;MS Mincho" w:cs="Times New Roman"/>
          <w:b/>
          <w:b/>
          <w:bCs/>
          <w:sz w:val="24"/>
          <w:szCs w:val="24"/>
        </w:rPr>
      </w:pPr>
      <w:r>
        <w:rPr>
          <w:rFonts w:eastAsia="Arial-BoldMT;MS Mincho" w:cs="Times New Roman" w:ascii="Times New Roman" w:hAnsi="Times New Roman"/>
          <w:b/>
          <w:bCs/>
          <w:sz w:val="24"/>
          <w:szCs w:val="24"/>
        </w:rPr>
        <w:t xml:space="preserve">4. </w:t>
      </w:r>
      <w:r>
        <w:rPr>
          <w:rFonts w:cs="Times New Roman" w:ascii="Times New Roman" w:hAnsi="Times New Roman"/>
          <w:b/>
        </w:rPr>
        <w:t>ПРОГРАММА СОРЕВНОВАНИЙ</w:t>
      </w:r>
    </w:p>
    <w:p>
      <w:pPr>
        <w:pStyle w:val="Normal"/>
        <w:autoSpaceDE w:val="false"/>
        <w:spacing w:lineRule="auto" w:line="240" w:before="0" w:after="0"/>
        <w:rPr>
          <w:rFonts w:ascii="Times New Roman" w:hAnsi="Times New Roman" w:eastAsia="Arial-BoldMT;MS Mincho" w:cs="Times New Roman"/>
          <w:b/>
          <w:b/>
          <w:bCs/>
        </w:rPr>
      </w:pPr>
      <w:r>
        <w:rPr>
          <w:rFonts w:eastAsia="Arial-BoldMT;MS Mincho" w:cs="Times New Roman" w:ascii="Times New Roman" w:hAnsi="Times New Roman"/>
          <w:b/>
          <w:bCs/>
          <w:sz w:val="24"/>
          <w:szCs w:val="24"/>
        </w:rPr>
        <w:t xml:space="preserve">5. </w:t>
      </w:r>
      <w:r>
        <w:rPr>
          <w:rFonts w:cs="Times New Roman" w:ascii="Times New Roman" w:hAnsi="Times New Roman"/>
          <w:b/>
        </w:rPr>
        <w:t>ТРЕБОВАНИЯ К УЧАСТНИКАМ И УСЛОВИЯ ИХ ДОПУСКА</w:t>
      </w:r>
    </w:p>
    <w:p>
      <w:pPr>
        <w:pStyle w:val="Normal"/>
        <w:autoSpaceDE w:val="false"/>
        <w:spacing w:lineRule="auto" w:line="240" w:before="0" w:after="0"/>
        <w:rPr>
          <w:rFonts w:ascii="Times New Roman" w:hAnsi="Times New Roman" w:eastAsia="Arial-BoldMT;MS Mincho" w:cs="Times New Roman"/>
          <w:b/>
          <w:b/>
          <w:bCs/>
          <w:sz w:val="24"/>
          <w:szCs w:val="24"/>
        </w:rPr>
      </w:pPr>
      <w:r>
        <w:rPr>
          <w:rFonts w:eastAsia="Arial-BoldMT;MS Mincho" w:cs="Times New Roman" w:ascii="Times New Roman" w:hAnsi="Times New Roman"/>
          <w:b/>
          <w:bCs/>
          <w:sz w:val="24"/>
          <w:szCs w:val="24"/>
        </w:rPr>
        <w:t xml:space="preserve">6. </w:t>
      </w:r>
      <w:r>
        <w:rPr>
          <w:rFonts w:cs="Times New Roman" w:ascii="Times New Roman" w:hAnsi="Times New Roman"/>
          <w:b/>
        </w:rPr>
        <w:t>ЗАЯВКИ НА УЧАСТИЕ</w:t>
      </w:r>
    </w:p>
    <w:p>
      <w:pPr>
        <w:pStyle w:val="Normal"/>
        <w:autoSpaceDE w:val="false"/>
        <w:spacing w:lineRule="auto" w:line="240" w:before="0" w:after="0"/>
        <w:rPr>
          <w:rFonts w:ascii="Times New Roman" w:hAnsi="Times New Roman" w:eastAsia="Arial-BoldMT;MS Mincho" w:cs="Times New Roman"/>
          <w:b/>
          <w:b/>
          <w:bCs/>
          <w:sz w:val="24"/>
          <w:szCs w:val="24"/>
        </w:rPr>
      </w:pPr>
      <w:r>
        <w:rPr>
          <w:rFonts w:eastAsia="Arial-BoldMT;MS Mincho" w:cs="Times New Roman" w:ascii="Times New Roman" w:hAnsi="Times New Roman"/>
          <w:b/>
          <w:bCs/>
          <w:sz w:val="24"/>
          <w:szCs w:val="24"/>
        </w:rPr>
        <w:t xml:space="preserve">7. </w:t>
      </w:r>
      <w:r>
        <w:rPr>
          <w:rFonts w:cs="Times New Roman" w:ascii="Times New Roman" w:hAnsi="Times New Roman"/>
          <w:b/>
        </w:rPr>
        <w:t>УСЛОВИЯ ПОДВЕДЕНИЯ ИТОГОВ</w:t>
      </w:r>
    </w:p>
    <w:p>
      <w:pPr>
        <w:pStyle w:val="Normal"/>
        <w:autoSpaceDE w:val="false"/>
        <w:spacing w:lineRule="auto" w:line="240" w:before="0" w:after="0"/>
        <w:rPr>
          <w:rFonts w:ascii="Times New Roman" w:hAnsi="Times New Roman" w:eastAsia="Arial-BoldMT;MS Mincho" w:cs="Times New Roman"/>
          <w:b/>
          <w:b/>
          <w:bCs/>
          <w:sz w:val="24"/>
          <w:szCs w:val="24"/>
        </w:rPr>
      </w:pPr>
      <w:r>
        <w:rPr>
          <w:rFonts w:eastAsia="Arial-BoldMT;MS Mincho" w:cs="Times New Roman" w:ascii="Times New Roman" w:hAnsi="Times New Roman"/>
          <w:b/>
          <w:bCs/>
          <w:sz w:val="24"/>
          <w:szCs w:val="24"/>
        </w:rPr>
        <w:t xml:space="preserve">8. </w:t>
      </w:r>
      <w:r>
        <w:rPr>
          <w:rFonts w:cs="Times New Roman" w:ascii="Times New Roman" w:hAnsi="Times New Roman"/>
          <w:b/>
        </w:rPr>
        <w:t>НАГРАЖДЕНИЕ ПОБЕДИТЕЛЕЙ И ПРИЗЕРОВ</w:t>
      </w:r>
    </w:p>
    <w:p>
      <w:pPr>
        <w:pStyle w:val="Normal"/>
        <w:autoSpaceDE w:val="false"/>
        <w:spacing w:lineRule="auto" w:line="240" w:before="0" w:after="0"/>
        <w:rPr>
          <w:rFonts w:ascii="Times New Roman" w:hAnsi="Times New Roman" w:eastAsia="Arial-BoldMT;MS Mincho" w:cs="Times New Roman"/>
          <w:b/>
          <w:b/>
          <w:bCs/>
          <w:sz w:val="24"/>
          <w:szCs w:val="24"/>
        </w:rPr>
      </w:pPr>
      <w:r>
        <w:rPr>
          <w:rFonts w:eastAsia="Arial-BoldMT;MS Mincho" w:cs="Times New Roman" w:ascii="Times New Roman" w:hAnsi="Times New Roman"/>
          <w:b/>
          <w:bCs/>
          <w:sz w:val="24"/>
          <w:szCs w:val="24"/>
        </w:rPr>
        <w:t xml:space="preserve">9. </w:t>
      </w:r>
      <w:r>
        <w:rPr>
          <w:rFonts w:cs="Times New Roman" w:ascii="Times New Roman" w:hAnsi="Times New Roman"/>
          <w:b/>
        </w:rPr>
        <w:t>УСЛОВИЯ ФИНАНСИРОВАНИЯ</w:t>
      </w:r>
    </w:p>
    <w:p>
      <w:pPr>
        <w:pStyle w:val="Normal"/>
        <w:autoSpaceDE w:val="false"/>
        <w:spacing w:lineRule="auto" w:line="240" w:before="0" w:after="0"/>
        <w:rPr>
          <w:rFonts w:ascii="Times New Roman" w:hAnsi="Times New Roman" w:eastAsia="Arial-BoldMT;MS Mincho" w:cs="Times New Roman"/>
          <w:b/>
          <w:b/>
          <w:bCs/>
          <w:sz w:val="24"/>
          <w:szCs w:val="24"/>
        </w:rPr>
      </w:pPr>
      <w:r>
        <w:rPr>
          <w:rFonts w:eastAsia="Arial-BoldMT;MS Mincho" w:cs="Times New Roman" w:ascii="Times New Roman" w:hAnsi="Times New Roman"/>
          <w:b/>
          <w:bCs/>
          <w:sz w:val="24"/>
          <w:szCs w:val="24"/>
        </w:rPr>
        <w:t xml:space="preserve">10. </w:t>
      </w:r>
      <w:r>
        <w:rPr>
          <w:rFonts w:cs="Times New Roman" w:ascii="Times New Roman" w:hAnsi="Times New Roman"/>
          <w:b/>
          <w:sz w:val="24"/>
          <w:szCs w:val="24"/>
        </w:rPr>
        <w:t>ДОПОЛНИТЕЛЬНЫЕУСЛОВИЯ</w:t>
      </w:r>
    </w:p>
    <w:p>
      <w:pPr>
        <w:pStyle w:val="Normal"/>
        <w:tabs>
          <w:tab w:val="clear" w:pos="708"/>
          <w:tab w:val="right" w:pos="9214" w:leader="dot"/>
        </w:tabs>
        <w:spacing w:before="60" w:after="200"/>
        <w:rPr>
          <w:rFonts w:ascii="Times New Roman" w:hAnsi="Times New Roman" w:eastAsia="Arial-BoldMT;MS Mincho" w:cs="Times New Roman"/>
          <w:b/>
          <w:b/>
          <w:bCs/>
          <w:sz w:val="24"/>
          <w:szCs w:val="24"/>
        </w:rPr>
      </w:pPr>
      <w:r>
        <w:rPr>
          <w:rFonts w:eastAsia="Arial-BoldMT;MS Mincho"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tabs>
          <w:tab w:val="clear" w:pos="708"/>
          <w:tab w:val="right" w:pos="9214" w:leader="dot"/>
        </w:tabs>
        <w:spacing w:before="60" w:after="200"/>
        <w:jc w:val="center"/>
        <w:rPr>
          <w:b/>
          <w:b/>
        </w:rPr>
      </w:pPr>
      <w:r>
        <w:rPr>
          <w:b/>
          <w:lang w:val="en-US"/>
        </w:rPr>
        <w:t>I</w:t>
      </w:r>
      <w:r>
        <w:rPr>
          <w:b/>
        </w:rPr>
        <w:t xml:space="preserve">. </w:t>
      </w:r>
      <w:r>
        <w:rPr>
          <w:rFonts w:cs="Times New Roman" w:ascii="Times New Roman" w:hAnsi="Times New Roman"/>
          <w:b/>
        </w:rPr>
        <w:t>ОБЩИЕ ПОЛОЖЕНИЯ</w:t>
      </w:r>
      <w:r>
        <w:rPr>
          <w:b/>
        </w:rPr>
        <w:t>.</w:t>
      </w:r>
    </w:p>
    <w:p>
      <w:pPr>
        <w:pStyle w:val="Normal"/>
        <w:spacing w:before="0" w:after="60"/>
        <w:rPr>
          <w:b/>
          <w:b/>
          <w:color w:val="000000"/>
        </w:rPr>
      </w:pPr>
      <w:r>
        <w:rPr>
          <w:b/>
          <w:color w:val="000000"/>
        </w:rPr>
        <w:t xml:space="preserve">  </w:t>
      </w:r>
    </w:p>
    <w:p>
      <w:pPr>
        <w:pStyle w:val="Style20"/>
        <w:numPr>
          <w:ilvl w:val="0"/>
          <w:numId w:val="5"/>
        </w:numPr>
        <w:spacing w:lineRule="auto" w:line="276" w:before="0" w:after="0"/>
        <w:ind w:left="0" w:firstLine="426"/>
        <w:contextualSpacing/>
        <w:jc w:val="both"/>
        <w:rPr/>
      </w:pPr>
      <w:r>
        <w:rPr>
          <w:rFonts w:cs="Times New Roman" w:ascii="Times New Roman" w:hAnsi="Times New Roman"/>
          <w:sz w:val="24"/>
          <w:szCs w:val="24"/>
        </w:rPr>
        <w:t>Областные официальные спортивные соревнования</w:t>
      </w:r>
      <w:r>
        <w:rPr>
          <w:rFonts w:cs="Times New Roman" w:ascii="Times New Roman" w:hAnsi="Times New Roman"/>
          <w:color w:val="000000"/>
          <w:sz w:val="24"/>
          <w:szCs w:val="24"/>
        </w:rPr>
        <w:t xml:space="preserve"> «</w:t>
      </w:r>
      <w:r>
        <w:rPr>
          <w:rFonts w:cs="Times New Roman" w:ascii="Times New Roman" w:hAnsi="Times New Roman"/>
          <w:b/>
          <w:color w:val="000000"/>
          <w:sz w:val="24"/>
          <w:szCs w:val="24"/>
        </w:rPr>
        <w:t xml:space="preserve"> Чемпионат Нижегородской области по автомобильным кольцевым гонкам серии NLS  2021 г.»</w:t>
      </w:r>
      <w:r>
        <w:rPr>
          <w:rFonts w:cs="Times New Roman" w:ascii="Times New Roman" w:hAnsi="Times New Roman"/>
          <w:sz w:val="24"/>
          <w:szCs w:val="24"/>
        </w:rPr>
        <w:t xml:space="preserve"> (далее - спортивные соревнования), включены в настоящее Положение на основании предложений Региональной Физкультурно-Спортивной Общественной Организации «Федерации Развития Автомобильного и Мотоциклетного Спорта Нижегородской Области (далее – РФСОО «ФРАМСНО»), аккредитованной в соответствии с приказом Министерства спорта Нижегородской области о государственной аккредитации региональной спортивной федерации от 11.07.2019 № 192.</w:t>
      </w:r>
    </w:p>
    <w:p>
      <w:pPr>
        <w:pStyle w:val="Normal"/>
        <w:tabs>
          <w:tab w:val="clear" w:pos="708"/>
          <w:tab w:val="right" w:pos="9072" w:leader="dot"/>
        </w:tabs>
        <w:jc w:val="both"/>
        <w:rPr/>
      </w:pPr>
      <w:r>
        <w:rPr>
          <w:color w:val="000000"/>
        </w:rPr>
        <w:t xml:space="preserve">      </w:t>
      </w:r>
      <w:r>
        <w:rPr>
          <w:rFonts w:cs="Times New Roman" w:ascii="Times New Roman" w:hAnsi="Times New Roman"/>
          <w:color w:val="000000"/>
          <w:sz w:val="24"/>
          <w:szCs w:val="24"/>
        </w:rPr>
        <w:t xml:space="preserve">2. </w:t>
      </w:r>
      <w:r>
        <w:rPr>
          <w:rFonts w:cs="Times New Roman" w:ascii="Times New Roman" w:hAnsi="Times New Roman"/>
          <w:sz w:val="24"/>
          <w:szCs w:val="24"/>
        </w:rPr>
        <w:t>Спортивные соревнования проводятся в соответствии с правилами вида спорта «Автомобильный», утвержденными приказом Министерства спорта Российской Федерации.</w:t>
      </w:r>
    </w:p>
    <w:p>
      <w:pPr>
        <w:pStyle w:val="Normal"/>
        <w:tabs>
          <w:tab w:val="clear" w:pos="708"/>
          <w:tab w:val="right" w:pos="9214" w:leader="dot"/>
        </w:tabs>
        <w:spacing w:before="60" w:after="20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      </w:t>
      </w:r>
    </w:p>
    <w:p>
      <w:pPr>
        <w:pStyle w:val="Normal"/>
        <w:tabs>
          <w:tab w:val="clear" w:pos="708"/>
          <w:tab w:val="right" w:pos="9214" w:leader="dot"/>
        </w:tabs>
        <w:spacing w:before="60" w:after="20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3. Сроки и место проведения соревнований:</w:t>
      </w:r>
    </w:p>
    <w:p>
      <w:pPr>
        <w:pStyle w:val="Normal"/>
        <w:tabs>
          <w:tab w:val="clear" w:pos="708"/>
          <w:tab w:val="right" w:pos="9214" w:leader="dot"/>
        </w:tabs>
        <w:spacing w:before="60" w:after="200"/>
        <w:rPr>
          <w:b/>
          <w:b/>
          <w:color w:val="000080"/>
        </w:rPr>
      </w:pPr>
      <w:r>
        <w:rPr>
          <w:color w:val="000000"/>
        </w:rPr>
        <w:t xml:space="preserve"> </w:t>
      </w:r>
      <w:r>
        <w:rPr>
          <w:b/>
          <w:color w:val="000080"/>
        </w:rPr>
        <w:t>1 этап -  24 апреля 2021 года</w:t>
      </w:r>
    </w:p>
    <w:p>
      <w:pPr>
        <w:pStyle w:val="Normal"/>
        <w:tabs>
          <w:tab w:val="clear" w:pos="708"/>
          <w:tab w:val="right" w:pos="9214" w:leader="dot"/>
        </w:tabs>
        <w:spacing w:before="60" w:after="200"/>
        <w:rPr>
          <w:b/>
          <w:b/>
          <w:color w:val="000080"/>
        </w:rPr>
      </w:pPr>
      <w:r>
        <w:rPr>
          <w:b/>
          <w:color w:val="000080"/>
        </w:rPr>
        <w:t xml:space="preserve"> </w:t>
      </w:r>
      <w:r>
        <w:rPr>
          <w:b/>
          <w:color w:val="000080"/>
        </w:rPr>
        <w:t>2 этап -  23 мая 2021 года</w:t>
      </w:r>
    </w:p>
    <w:p>
      <w:pPr>
        <w:pStyle w:val="Normal"/>
        <w:tabs>
          <w:tab w:val="clear" w:pos="708"/>
          <w:tab w:val="right" w:pos="9214" w:leader="dot"/>
        </w:tabs>
        <w:spacing w:before="60" w:after="200"/>
        <w:rPr>
          <w:b/>
          <w:b/>
          <w:color w:val="000080"/>
        </w:rPr>
      </w:pPr>
      <w:r>
        <w:rPr>
          <w:b/>
          <w:color w:val="000080"/>
        </w:rPr>
        <w:t xml:space="preserve"> </w:t>
      </w:r>
      <w:r>
        <w:rPr>
          <w:b/>
          <w:color w:val="000080"/>
        </w:rPr>
        <w:t>3 этап –  4 июля 2021 года</w:t>
      </w:r>
    </w:p>
    <w:p>
      <w:pPr>
        <w:pStyle w:val="Normal"/>
        <w:tabs>
          <w:tab w:val="clear" w:pos="708"/>
          <w:tab w:val="right" w:pos="9214" w:leader="dot"/>
        </w:tabs>
        <w:spacing w:before="60" w:after="200"/>
        <w:rPr>
          <w:b/>
          <w:b/>
          <w:color w:val="000080"/>
        </w:rPr>
      </w:pPr>
      <w:r>
        <w:rPr>
          <w:b/>
          <w:color w:val="000080"/>
        </w:rPr>
        <w:t xml:space="preserve"> </w:t>
      </w:r>
      <w:r>
        <w:rPr>
          <w:b/>
          <w:color w:val="000080"/>
        </w:rPr>
        <w:t>4 этап  -  8 августа 2021 года</w:t>
      </w:r>
    </w:p>
    <w:p>
      <w:pPr>
        <w:pStyle w:val="Normal"/>
        <w:tabs>
          <w:tab w:val="clear" w:pos="708"/>
          <w:tab w:val="right" w:pos="9214" w:leader="dot"/>
        </w:tabs>
        <w:spacing w:before="60" w:after="200"/>
        <w:rPr>
          <w:b/>
          <w:b/>
          <w:color w:val="000080"/>
        </w:rPr>
      </w:pPr>
      <w:r>
        <w:rPr>
          <w:b/>
          <w:color w:val="000080"/>
        </w:rPr>
        <w:t xml:space="preserve"> </w:t>
      </w:r>
      <w:r>
        <w:rPr>
          <w:b/>
          <w:color w:val="000080"/>
        </w:rPr>
        <w:t>5 этап –  26 сентября 2021 года</w:t>
      </w:r>
    </w:p>
    <w:p>
      <w:pPr>
        <w:pStyle w:val="Normal"/>
        <w:tabs>
          <w:tab w:val="clear" w:pos="708"/>
          <w:tab w:val="right" w:pos="9214" w:leader="dot"/>
        </w:tabs>
        <w:spacing w:before="60" w:after="200"/>
        <w:rPr>
          <w:b/>
          <w:b/>
          <w:color w:val="000080"/>
        </w:rPr>
      </w:pPr>
      <w:r>
        <w:rPr>
          <w:b/>
          <w:color w:val="000080"/>
        </w:rPr>
      </w:r>
    </w:p>
    <w:p>
      <w:pPr>
        <w:pStyle w:val="Normal"/>
        <w:tabs>
          <w:tab w:val="clear" w:pos="708"/>
          <w:tab w:val="right" w:pos="9214" w:leader="dot"/>
        </w:tabs>
        <w:spacing w:before="60" w:after="200"/>
        <w:rPr>
          <w:b/>
          <w:b/>
          <w:color w:val="000080"/>
        </w:rPr>
      </w:pPr>
      <w:r>
        <w:rPr>
          <w:b/>
          <w:color w:val="000080"/>
        </w:rPr>
      </w:r>
    </w:p>
    <w:p>
      <w:pPr>
        <w:pStyle w:val="Normal"/>
        <w:tabs>
          <w:tab w:val="clear" w:pos="708"/>
          <w:tab w:val="right" w:pos="9214" w:leader="dot"/>
        </w:tabs>
        <w:spacing w:before="60" w:after="200"/>
        <w:rPr>
          <w:b/>
          <w:b/>
          <w:color w:val="000080"/>
        </w:rPr>
      </w:pPr>
      <w:r>
        <w:rPr>
          <w:b/>
          <w:color w:val="000080"/>
        </w:rPr>
      </w:r>
    </w:p>
    <w:p>
      <w:pPr>
        <w:pStyle w:val="Style20"/>
        <w:spacing w:lineRule="auto" w:line="240" w:before="0" w:after="0"/>
        <w:ind w:left="0" w:hanging="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 xml:space="preserve">      </w:t>
      </w:r>
    </w:p>
    <w:p>
      <w:pPr>
        <w:pStyle w:val="Style20"/>
        <w:spacing w:lineRule="auto" w:line="240" w:before="0" w:after="0"/>
        <w:ind w:left="0" w:hanging="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4.Задачами проведения спортивных соревнований являются:</w:t>
      </w:r>
    </w:p>
    <w:p>
      <w:pPr>
        <w:pStyle w:val="Style20"/>
        <w:spacing w:lineRule="auto" w:line="240" w:before="0" w:after="0"/>
        <w:ind w:left="567" w:hanging="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- выявление сильнейших спортсменов для формирования списка кандидатов в спортивные сборные команды Нижегородской области,</w:t>
      </w:r>
    </w:p>
    <w:p>
      <w:pPr>
        <w:pStyle w:val="Style20"/>
        <w:spacing w:lineRule="auto" w:line="240" w:before="0" w:after="0"/>
        <w:ind w:left="567" w:hanging="0"/>
        <w:contextualSpacing/>
        <w:rPr/>
      </w:pPr>
      <w:r>
        <w:rPr>
          <w:rFonts w:cs="Times New Roman" w:ascii="Times New Roman" w:hAnsi="Times New Roman"/>
          <w:sz w:val="24"/>
          <w:szCs w:val="24"/>
        </w:rPr>
        <w:t>- отбор спортсменов в спортивные сборные команды Нижегородской области для подготовки к чемпионатам  Приволжского федерального округа, чемпионатам России, Всероссийским соревнованиям и участия в них от Нижегородской области,</w:t>
      </w:r>
    </w:p>
    <w:p>
      <w:pPr>
        <w:pStyle w:val="Style20"/>
        <w:spacing w:lineRule="auto" w:line="240" w:before="0" w:after="0"/>
        <w:ind w:left="567" w:hanging="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- развитие и популяризация автомобильного спорта на территории Нижегородской области.</w:t>
      </w:r>
    </w:p>
    <w:p>
      <w:pPr>
        <w:pStyle w:val="Normal"/>
        <w:spacing w:lineRule="auto" w:line="240"/>
        <w:ind w:firstLine="426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5. Запрещается оказывать противоправное влияние на результаты спортивных соревнований, включённых в настоящее Положение.</w:t>
      </w:r>
    </w:p>
    <w:p>
      <w:pPr>
        <w:pStyle w:val="Normal"/>
        <w:spacing w:lineRule="auto" w:line="240"/>
        <w:ind w:firstLine="426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Запрещается участвовать в азартных играх и букмекерских конторах и тотализаторах путем заключения пари на официальные спортивные соревнования в соответствии с требованиями, установленными пунктом 3 части 4 статьи 26.2 Федерального закона от 04.12.2007 г. №329 «О физической культуре и спорте в Российской Федерации».</w:t>
      </w:r>
    </w:p>
    <w:p>
      <w:pPr>
        <w:pStyle w:val="Normal"/>
        <w:spacing w:lineRule="auto" w:line="240"/>
        <w:ind w:left="360" w:hanging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6.Настоящее Положение является основанием для командирования спортсменов, тренеров, спортивных судей и иных специалистов в области физической культуры и спорта на спортивные соревнования.</w:t>
      </w:r>
    </w:p>
    <w:p>
      <w:pPr>
        <w:pStyle w:val="Normal"/>
        <w:spacing w:before="0" w:after="0"/>
        <w:jc w:val="center"/>
        <w:rPr/>
      </w:pPr>
      <w:r>
        <w:rPr>
          <w:rFonts w:cs="Times New Roman" w:ascii="Times New Roman" w:hAnsi="Times New Roman"/>
          <w:sz w:val="28"/>
          <w:szCs w:val="28"/>
          <w:lang w:val="en-US"/>
        </w:rPr>
        <w:t>II</w:t>
      </w:r>
      <w:r>
        <w:rPr>
          <w:rFonts w:cs="Times New Roman" w:ascii="Times New Roman" w:hAnsi="Times New Roman"/>
          <w:sz w:val="28"/>
          <w:szCs w:val="28"/>
        </w:rPr>
        <w:t>. РУКОВОДСТВО ПРОВЕДЕНИЕМ СПОРТИВНЫХ СОРЕВНОВАНИЙ.</w:t>
      </w:r>
    </w:p>
    <w:p>
      <w:pPr>
        <w:pStyle w:val="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Style20"/>
        <w:numPr>
          <w:ilvl w:val="1"/>
          <w:numId w:val="4"/>
        </w:numPr>
        <w:spacing w:lineRule="auto" w:line="240" w:before="0"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Общее руководство проведением спортивных соревнований осуществляется министерством спорта Нижегородской области и РФСОО «ФРАМСНО».</w:t>
      </w:r>
    </w:p>
    <w:p>
      <w:pPr>
        <w:pStyle w:val="Style20"/>
        <w:spacing w:lineRule="auto" w:line="240" w:before="0" w:after="0"/>
        <w:ind w:left="567" w:hanging="0"/>
        <w:contextualSpacing/>
        <w:jc w:val="both"/>
        <w:rPr>
          <w:rFonts w:ascii="Times New Roman" w:hAnsi="Times New Roman" w:cs="Times New Roman"/>
          <w:b/>
          <w:b/>
          <w:color w:val="000080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Непосредственное проведение спортивных соревнований возлагается на главную судейскую коллегию, утверждаемую РФСОО «ФРАМСНО».</w:t>
      </w:r>
    </w:p>
    <w:p>
      <w:pPr>
        <w:pStyle w:val="Normal"/>
        <w:tabs>
          <w:tab w:val="clear" w:pos="708"/>
          <w:tab w:val="right" w:pos="9072" w:leader="dot"/>
        </w:tabs>
        <w:spacing w:lineRule="auto" w:line="240"/>
        <w:jc w:val="both"/>
        <w:rPr>
          <w:rFonts w:ascii="Times New Roman" w:hAnsi="Times New Roman" w:cs="Times New Roman"/>
          <w:b/>
          <w:b/>
          <w:color w:val="000000"/>
          <w:sz w:val="24"/>
          <w:szCs w:val="24"/>
        </w:rPr>
      </w:pPr>
      <w:r>
        <w:rPr>
          <w:rFonts w:cs="Times New Roman" w:ascii="Times New Roman" w:hAnsi="Times New Roman"/>
          <w:b/>
          <w:color w:val="000000"/>
          <w:sz w:val="24"/>
          <w:szCs w:val="24"/>
        </w:rPr>
      </w:r>
    </w:p>
    <w:p>
      <w:pPr>
        <w:pStyle w:val="Normal"/>
        <w:tabs>
          <w:tab w:val="clear" w:pos="708"/>
          <w:tab w:val="right" w:pos="9072" w:leader="dot"/>
        </w:tabs>
        <w:spacing w:lineRule="auto" w:line="240" w:before="0" w:after="0"/>
        <w:rPr/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     </w:t>
      </w:r>
      <w:r>
        <w:rPr>
          <w:rFonts w:cs="Times New Roman" w:ascii="Times New Roman" w:hAnsi="Times New Roman"/>
          <w:color w:val="000000"/>
          <w:sz w:val="24"/>
          <w:szCs w:val="24"/>
        </w:rPr>
        <w:t>2.2  Официальные лица соревнования</w:t>
      </w:r>
    </w:p>
    <w:p>
      <w:pPr>
        <w:pStyle w:val="Normal"/>
        <w:tabs>
          <w:tab w:val="clear" w:pos="708"/>
          <w:tab w:val="right" w:pos="9072" w:leader="dot"/>
        </w:tabs>
        <w:spacing w:lineRule="auto" w:line="240" w:before="0" w:after="0"/>
        <w:ind w:firstLine="27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Пигулевский Сергей (Председатель Оргкомитета) +79202501158</w:t>
      </w:r>
    </w:p>
    <w:p>
      <w:pPr>
        <w:pStyle w:val="Normal"/>
        <w:tabs>
          <w:tab w:val="clear" w:pos="708"/>
          <w:tab w:val="right" w:pos="9072" w:leader="dot"/>
        </w:tabs>
        <w:spacing w:lineRule="auto" w:line="240" w:before="0" w:after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     </w:t>
      </w:r>
      <w:r>
        <w:rPr>
          <w:rFonts w:cs="Times New Roman" w:ascii="Times New Roman" w:hAnsi="Times New Roman"/>
          <w:color w:val="000000"/>
          <w:sz w:val="24"/>
          <w:szCs w:val="24"/>
        </w:rPr>
        <w:t xml:space="preserve">Гусев Дмитрий (г.Нижний Новгород ) СС 1 категории (Руководитель гонки) </w:t>
      </w:r>
    </w:p>
    <w:p>
      <w:pPr>
        <w:pStyle w:val="Normal"/>
        <w:tabs>
          <w:tab w:val="clear" w:pos="708"/>
          <w:tab w:val="right" w:pos="9072" w:leader="dot"/>
        </w:tabs>
        <w:spacing w:lineRule="auto" w:line="240" w:before="0" w:after="0"/>
        <w:ind w:firstLine="270"/>
        <w:rPr/>
      </w:pPr>
      <w:r>
        <w:rPr>
          <w:rFonts w:cs="Times New Roman" w:ascii="Times New Roman" w:hAnsi="Times New Roman"/>
          <w:color w:val="000000"/>
          <w:sz w:val="24"/>
          <w:szCs w:val="24"/>
        </w:rPr>
        <w:t>Урутин Михаил (г.Нижний Новгород) СС 1 категории (Главный хронометрист Соревнования)</w:t>
      </w:r>
    </w:p>
    <w:p>
      <w:pPr>
        <w:pStyle w:val="Normal"/>
        <w:tabs>
          <w:tab w:val="clear" w:pos="708"/>
          <w:tab w:val="right" w:pos="9072" w:leader="dot"/>
        </w:tabs>
        <w:spacing w:lineRule="auto" w:line="240" w:before="0" w:after="0"/>
        <w:ind w:firstLine="27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По назначению  (Главный секретарь Соревнования)</w:t>
      </w:r>
    </w:p>
    <w:p>
      <w:pPr>
        <w:pStyle w:val="Normal"/>
        <w:tabs>
          <w:tab w:val="clear" w:pos="708"/>
          <w:tab w:val="right" w:pos="9072" w:leader="dot"/>
        </w:tabs>
        <w:spacing w:lineRule="auto" w:line="240" w:before="0" w:after="0"/>
        <w:ind w:firstLine="27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По назначению  (КСК)</w:t>
      </w:r>
    </w:p>
    <w:p>
      <w:pPr>
        <w:pStyle w:val="Normal"/>
        <w:tabs>
          <w:tab w:val="clear" w:pos="708"/>
          <w:tab w:val="right" w:pos="9072" w:leader="dot"/>
        </w:tabs>
        <w:spacing w:lineRule="auto" w:line="240" w:before="0" w:after="0"/>
        <w:ind w:firstLine="27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По назначению  (Технический комиссар)</w:t>
      </w:r>
    </w:p>
    <w:p>
      <w:pPr>
        <w:pStyle w:val="Normal"/>
        <w:tabs>
          <w:tab w:val="clear" w:pos="708"/>
          <w:tab w:val="right" w:pos="9072" w:leader="dot"/>
        </w:tabs>
        <w:spacing w:lineRule="auto" w:line="240" w:before="0" w:after="0"/>
        <w:ind w:firstLine="27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По назначению  (Главный врач Соревнования)</w:t>
      </w:r>
    </w:p>
    <w:p>
      <w:pPr>
        <w:pStyle w:val="Normal"/>
        <w:tabs>
          <w:tab w:val="clear" w:pos="708"/>
          <w:tab w:val="right" w:pos="9072" w:leader="dot"/>
        </w:tabs>
        <w:spacing w:lineRule="auto" w:line="240" w:before="0" w:after="0"/>
        <w:ind w:firstLine="27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По назначению  (Судья при участниках)</w:t>
      </w:r>
    </w:p>
    <w:p>
      <w:pPr>
        <w:pStyle w:val="Normal"/>
        <w:tabs>
          <w:tab w:val="clear" w:pos="708"/>
          <w:tab w:val="right" w:pos="9072" w:leader="dot"/>
        </w:tabs>
        <w:spacing w:lineRule="auto" w:line="240" w:before="0" w:after="0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    </w:t>
      </w:r>
      <w:r>
        <w:rPr>
          <w:rFonts w:cs="Times New Roman" w:ascii="Times New Roman" w:hAnsi="Times New Roman"/>
          <w:color w:val="000000"/>
          <w:sz w:val="24"/>
          <w:szCs w:val="24"/>
        </w:rPr>
        <w:t>Электронный адрес постоянного Секретариата</w:t>
      </w:r>
      <w:r>
        <w:rPr>
          <w:rFonts w:cs="Times New Roman" w:ascii="Times New Roman" w:hAnsi="Times New Roman"/>
          <w:color w:val="000000"/>
          <w:sz w:val="24"/>
          <w:szCs w:val="24"/>
          <w:u w:val="single"/>
        </w:rPr>
        <w:t>:</w:t>
      </w:r>
      <w:r>
        <w:rPr>
          <w:rFonts w:cs="Times New Roman" w:ascii="Times New Roman" w:hAnsi="Times New Roman"/>
          <w:color w:val="000000"/>
          <w:sz w:val="24"/>
          <w:szCs w:val="24"/>
          <w:u w:val="single"/>
          <w:lang w:val="en-US"/>
        </w:rPr>
        <w:t>info</w:t>
      </w:r>
      <w:r>
        <w:rPr>
          <w:rFonts w:cs="Times New Roman" w:ascii="Times New Roman" w:hAnsi="Times New Roman"/>
          <w:color w:val="000000"/>
          <w:sz w:val="24"/>
          <w:szCs w:val="24"/>
          <w:u w:val="single"/>
        </w:rPr>
        <w:t>@</w:t>
      </w:r>
      <w:r>
        <w:rPr>
          <w:rFonts w:cs="Times New Roman" w:ascii="Times New Roman" w:hAnsi="Times New Roman"/>
          <w:color w:val="000000"/>
          <w:sz w:val="24"/>
          <w:szCs w:val="24"/>
          <w:u w:val="single"/>
          <w:lang w:val="en-US"/>
        </w:rPr>
        <w:t>nring</w:t>
      </w:r>
      <w:r>
        <w:rPr>
          <w:rFonts w:cs="Times New Roman" w:ascii="Times New Roman" w:hAnsi="Times New Roman"/>
          <w:color w:val="000000"/>
          <w:sz w:val="24"/>
          <w:szCs w:val="24"/>
          <w:u w:val="single"/>
        </w:rPr>
        <w:t>.</w:t>
      </w:r>
      <w:r>
        <w:rPr>
          <w:rFonts w:cs="Times New Roman" w:ascii="Times New Roman" w:hAnsi="Times New Roman"/>
          <w:color w:val="000000"/>
          <w:sz w:val="24"/>
          <w:szCs w:val="24"/>
          <w:u w:val="single"/>
          <w:lang w:val="en-US"/>
        </w:rPr>
        <w:t>ru</w:t>
      </w:r>
    </w:p>
    <w:p>
      <w:pPr>
        <w:pStyle w:val="Normal"/>
        <w:tabs>
          <w:tab w:val="clear" w:pos="708"/>
          <w:tab w:val="right" w:pos="9072" w:leader="dot"/>
        </w:tabs>
        <w:spacing w:lineRule="auto" w:line="240" w:before="0" w:after="0"/>
        <w:ind w:firstLine="27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Официальный сайт соревнования: </w:t>
      </w:r>
      <w:hyperlink r:id="rId5">
        <w:r>
          <w:rPr>
            <w:rStyle w:val="InternetLink"/>
            <w:rFonts w:cs="Times New Roman" w:ascii="Times New Roman" w:hAnsi="Times New Roman"/>
            <w:sz w:val="24"/>
            <w:szCs w:val="24"/>
          </w:rPr>
          <w:t>www.nring.ru</w:t>
        </w:r>
      </w:hyperlink>
    </w:p>
    <w:p>
      <w:pPr>
        <w:pStyle w:val="Normal"/>
        <w:tabs>
          <w:tab w:val="clear" w:pos="708"/>
          <w:tab w:val="right" w:pos="9072" w:leader="dot"/>
        </w:tabs>
        <w:spacing w:lineRule="auto" w:line="240" w:before="0" w:after="0"/>
        <w:ind w:firstLine="27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Style20"/>
        <w:numPr>
          <w:ilvl w:val="1"/>
          <w:numId w:val="2"/>
        </w:numPr>
        <w:spacing w:lineRule="auto" w:line="240" w:before="0" w:after="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Министерство спорта Нижегородской области и РФСОО «ФРАМСНО» определяют условия проведения спортивных соревнований, предусмотренные настоящим Положением.</w:t>
      </w:r>
    </w:p>
    <w:p>
      <w:pPr>
        <w:pStyle w:val="Style20"/>
        <w:numPr>
          <w:ilvl w:val="1"/>
          <w:numId w:val="2"/>
        </w:numPr>
        <w:spacing w:lineRule="auto" w:line="240" w:before="0" w:after="0"/>
        <w:contextualSpacing/>
        <w:rPr/>
      </w:pPr>
      <w:r>
        <w:rPr>
          <w:rFonts w:eastAsia="Times New Roman" w:cs="Times New Roman" w:ascii="Times New Roman" w:hAnsi="Times New Roman"/>
          <w:b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Нормативными документами организации и проведения соревнования являются:</w:t>
      </w:r>
    </w:p>
    <w:p>
      <w:pPr>
        <w:pStyle w:val="Normal"/>
        <w:spacing w:lineRule="auto" w:line="240" w:before="0" w:after="0"/>
        <w:ind w:left="360" w:hanging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- Спортивный кодекс РАФ и приложения к нему;</w:t>
      </w:r>
    </w:p>
    <w:p>
      <w:pPr>
        <w:pStyle w:val="Normal"/>
        <w:spacing w:lineRule="auto" w:line="240" w:before="0" w:after="0"/>
        <w:ind w:left="360" w:hanging="0"/>
        <w:rPr/>
      </w:pPr>
      <w:r>
        <w:rPr>
          <w:rFonts w:cs="Times New Roman" w:ascii="Times New Roman" w:hAnsi="Times New Roman"/>
          <w:sz w:val="24"/>
          <w:szCs w:val="24"/>
        </w:rPr>
        <w:t>- Правила организации и проведения соревнований по автомобильным кольцевым гонкам;</w:t>
      </w:r>
    </w:p>
    <w:p>
      <w:pPr>
        <w:pStyle w:val="Normal"/>
        <w:spacing w:lineRule="auto" w:line="240" w:before="0" w:after="0"/>
        <w:ind w:left="360" w:hanging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- Технический регламент </w:t>
      </w:r>
    </w:p>
    <w:p>
      <w:pPr>
        <w:pStyle w:val="Normal"/>
        <w:spacing w:lineRule="auto" w:line="240" w:before="0" w:after="0"/>
        <w:ind w:left="360" w:hanging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- Настоящий регламент </w:t>
      </w:r>
    </w:p>
    <w:p>
      <w:pPr>
        <w:pStyle w:val="Normal"/>
        <w:spacing w:lineRule="auto" w:line="240" w:before="0" w:after="0"/>
        <w:ind w:left="360" w:hanging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- Частные регламенты этапов</w:t>
      </w:r>
    </w:p>
    <w:p>
      <w:pPr>
        <w:pStyle w:val="Normal"/>
        <w:spacing w:lineRule="auto" w:line="240" w:before="0" w:after="0"/>
        <w:ind w:left="360" w:hanging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- Дополнения к настоящему регламенту, (бюллетени организатора)</w:t>
      </w:r>
    </w:p>
    <w:p>
      <w:pPr>
        <w:pStyle w:val="Normal"/>
        <w:spacing w:lineRule="auto" w:line="240" w:before="0" w:after="0"/>
        <w:ind w:left="360" w:hang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before="0" w:after="0"/>
        <w:ind w:firstLine="426"/>
        <w:jc w:val="center"/>
        <w:rPr/>
      </w:pPr>
      <w:r>
        <w:rPr>
          <w:rFonts w:cs="Times New Roman" w:ascii="Times New Roman" w:hAnsi="Times New Roman"/>
          <w:sz w:val="28"/>
          <w:szCs w:val="28"/>
          <w:lang w:val="en-US"/>
        </w:rPr>
        <w:t>III</w:t>
      </w:r>
      <w:r>
        <w:rPr>
          <w:rFonts w:cs="Times New Roman" w:ascii="Times New Roman" w:hAnsi="Times New Roman"/>
          <w:sz w:val="28"/>
          <w:szCs w:val="28"/>
        </w:rPr>
        <w:t>. ОБЕСПЕЧЕНИЕ БЕЗОПАСНОСТИ УЧАСТНИКОВ И ЗРИТЕЛЕЙ, МЕДИЦИНСКОЕ ОБЕСПЕЧЕНИЕ, АНТИДОПИНГОВОЕ ОБЕСПЕЧЕНИЕ СПОРТИВНЫХ СОРЕВНОВАНИЙ.</w:t>
      </w:r>
    </w:p>
    <w:p>
      <w:pPr>
        <w:pStyle w:val="Normal"/>
        <w:spacing w:before="0" w:after="0"/>
        <w:ind w:firstLine="426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Style20"/>
        <w:numPr>
          <w:ilvl w:val="0"/>
          <w:numId w:val="10"/>
        </w:numPr>
        <w:spacing w:lineRule="auto" w:line="276" w:before="0" w:after="0"/>
        <w:ind w:left="0"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Спортивные соревнования проводятся на объектах спорта, включенных во Всероссийский реестр объектов спорта, в соответствии с Федеральным законом от 04.12.2007 г. №329 «О физической культуре и спорте в Российской Федерации».</w:t>
      </w:r>
    </w:p>
    <w:p>
      <w:pPr>
        <w:pStyle w:val="Style20"/>
        <w:numPr>
          <w:ilvl w:val="0"/>
          <w:numId w:val="10"/>
        </w:numPr>
        <w:spacing w:lineRule="auto" w:line="276" w:before="0" w:after="0"/>
        <w:ind w:left="0"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Обеспечение безопасности участников и зрителей на спортивных соревнованиях осуществляется согласно требованиям Правил обеспечения безопасности при проведении официальных спортивных соревнований, утвержденных постановлением Правительства Российской Федерации от 18.04.2014 г.  № 353.</w:t>
      </w:r>
    </w:p>
    <w:p>
      <w:pPr>
        <w:pStyle w:val="Style20"/>
        <w:numPr>
          <w:ilvl w:val="0"/>
          <w:numId w:val="10"/>
        </w:numPr>
        <w:spacing w:lineRule="auto" w:line="276" w:before="0" w:after="0"/>
        <w:ind w:left="0"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Участие в спортивных соревнованиях осуществляется только при наличии полиса страхования жизни и здоровья от несчастных случаев, который представляется в комиссию по допуску участников на каждого участника спортивных соревнований.</w:t>
      </w:r>
    </w:p>
    <w:p>
      <w:pPr>
        <w:pStyle w:val="Style20"/>
        <w:numPr>
          <w:ilvl w:val="0"/>
          <w:numId w:val="10"/>
        </w:numPr>
        <w:spacing w:lineRule="auto" w:line="276" w:before="0" w:after="0"/>
        <w:ind w:left="0"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Оказание скорой медицинской помощи осуществляется в соответствии с приказом Министерства здравоохранения Российской Федерации от 01.03.2016 г. № 134Н «О Порядке организации оказания медицинской помощи лицам, занимающимся физической культурой и спортом (в том числе при подготовке и проведении физкультурных мероприятий и спортивных мероприятий), включая порядок медицинского осмотра лиц, желающих пройти спортивную подготовку, заниматься физической культурой и спортом в организациях и (или) выполнить нормативы испытаний (тестов) Всероссийского физкультурно-спортивного комплекса «Готов к труду и обороне».</w:t>
      </w:r>
    </w:p>
    <w:p>
      <w:pPr>
        <w:pStyle w:val="Style20"/>
        <w:numPr>
          <w:ilvl w:val="0"/>
          <w:numId w:val="10"/>
        </w:numPr>
        <w:spacing w:lineRule="auto" w:line="276" w:before="0" w:after="0"/>
        <w:ind w:left="0"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Основанием для допуска спортсмена к спортивным соревнованиям по медицинским заключениям является заявка на участие в спортивных соревнованиях с отметкой «допущен» напротив каждой фамилии спортсмена, заверенная подписью врача и его личной печатью. Заявка на участие в спортивных соревнованиях подписывается врачом с расшифровкой фамилии, имени, отчества и заверяется печатью медицинской организации, имеющей лицензию на осуществление медицинской деятельности.</w:t>
      </w:r>
    </w:p>
    <w:p>
      <w:pPr>
        <w:pStyle w:val="Style20"/>
        <w:numPr>
          <w:ilvl w:val="0"/>
          <w:numId w:val="10"/>
        </w:numPr>
        <w:spacing w:lineRule="auto" w:line="276" w:before="0" w:after="0"/>
        <w:ind w:left="0"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Антидопинговое обеспечение в Российской Федерации осуществляется в соответствии с Общероссийскими антидопинговыми правилами, утвержденными приказом Министерства спорта Российской Федерации от 09.08.2016 г. № 947.</w:t>
      </w:r>
    </w:p>
    <w:p>
      <w:pPr>
        <w:pStyle w:val="Normal"/>
        <w:spacing w:before="0" w:after="0"/>
        <w:ind w:left="360" w:hang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В соответствии с пунктом 10.11.1 общероссийских антидопинговых правил, ни один спортсмен или иное лицо, в отношении которого была применена дисквалификация, не имеет права во время срока дисквалификации участвовать ни в каком качестве в спортивных соревнованиях.</w:t>
      </w:r>
    </w:p>
    <w:p>
      <w:pPr>
        <w:pStyle w:val="Normal"/>
        <w:spacing w:lineRule="auto" w:line="240" w:before="0" w:after="0"/>
        <w:ind w:left="360" w:hang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left="360" w:hang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left="360" w:hang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left="360" w:hang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left="360" w:hang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left="360" w:hang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autoSpaceDE w:val="false"/>
        <w:spacing w:lineRule="auto" w:line="240" w:before="0" w:after="0"/>
        <w:ind w:left="142" w:hanging="0"/>
        <w:rPr>
          <w:rFonts w:ascii="Times New Roman" w:hAnsi="Times New Roman" w:eastAsia="Arial-BoldMT;MS Mincho" w:cs="Times New Roman"/>
          <w:b/>
          <w:b/>
          <w:bCs/>
          <w:sz w:val="24"/>
          <w:szCs w:val="24"/>
        </w:rPr>
      </w:pPr>
      <w:r>
        <w:rPr>
          <w:rFonts w:eastAsia="Arial-BoldMT;MS Mincho" w:cs="Times New Roman" w:ascii="Times New Roman" w:hAnsi="Times New Roman"/>
          <w:b/>
          <w:bCs/>
          <w:sz w:val="24"/>
          <w:szCs w:val="24"/>
        </w:rPr>
      </w:r>
    </w:p>
    <w:p>
      <w:pPr>
        <w:pStyle w:val="Style20"/>
        <w:spacing w:lineRule="auto" w:line="276" w:before="0" w:after="0"/>
        <w:ind w:left="0" w:firstLine="426"/>
        <w:contextualSpacing/>
        <w:jc w:val="center"/>
        <w:rPr>
          <w:rFonts w:ascii="Times New Roman" w:hAnsi="Times New Roman" w:eastAsia="Arial-BoldMT;MS Mincho" w:cs="Times New Roman"/>
          <w:b/>
          <w:b/>
          <w:bCs/>
          <w:sz w:val="28"/>
          <w:szCs w:val="28"/>
        </w:rPr>
      </w:pPr>
      <w:r>
        <w:rPr>
          <w:rFonts w:eastAsia="Arial-BoldMT;MS Mincho" w:cs="Times New Roman" w:ascii="Times New Roman" w:hAnsi="Times New Roman"/>
          <w:b/>
          <w:bCs/>
          <w:sz w:val="28"/>
          <w:szCs w:val="28"/>
        </w:rPr>
      </w:r>
    </w:p>
    <w:p>
      <w:pPr>
        <w:pStyle w:val="Style20"/>
        <w:spacing w:lineRule="auto" w:line="276" w:before="0" w:after="0"/>
        <w:ind w:left="0" w:firstLine="426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Style20"/>
        <w:spacing w:lineRule="auto" w:line="276" w:before="0" w:after="0"/>
        <w:ind w:left="0" w:firstLine="426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Style20"/>
        <w:spacing w:lineRule="auto" w:line="276" w:before="0" w:after="0"/>
        <w:ind w:left="0" w:firstLine="426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Style20"/>
        <w:spacing w:lineRule="auto" w:line="276" w:before="0" w:after="0"/>
        <w:ind w:left="0" w:firstLine="426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  <w:lang w:val="en-US"/>
        </w:rPr>
        <w:t>IV</w:t>
      </w:r>
      <w:r>
        <w:rPr>
          <w:rFonts w:cs="Times New Roman" w:ascii="Times New Roman" w:hAnsi="Times New Roman"/>
          <w:sz w:val="28"/>
          <w:szCs w:val="28"/>
        </w:rPr>
        <w:t>. ПРОГРАММА СОРЕВНОВАНИЙ.</w:t>
      </w:r>
    </w:p>
    <w:p>
      <w:pPr>
        <w:pStyle w:val="Normal"/>
        <w:spacing w:lineRule="auto" w:line="240" w:before="0" w:after="0"/>
        <w:ind w:left="360" w:hanging="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 xml:space="preserve">8.00 – 9.00      Регистрация участников, АП, ПТИ, Медицинский контроль   (все классы) </w:t>
      </w:r>
    </w:p>
    <w:p>
      <w:pPr>
        <w:pStyle w:val="Normal"/>
        <w:spacing w:lineRule="auto" w:line="240" w:before="0" w:after="0"/>
        <w:ind w:left="360" w:hang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9.10 – 9.20      Заседание КСК, Утверждение и публикация списков допущенных участников</w:t>
      </w:r>
    </w:p>
    <w:p>
      <w:pPr>
        <w:pStyle w:val="Normal"/>
        <w:spacing w:lineRule="auto" w:line="240" w:before="0" w:after="0"/>
        <w:ind w:left="360" w:hang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9.20 – 9.50      Брифинг пилотов (все классы)</w:t>
      </w:r>
    </w:p>
    <w:p>
      <w:pPr>
        <w:pStyle w:val="Normal"/>
        <w:spacing w:lineRule="auto" w:line="240" w:before="0" w:after="0"/>
        <w:ind w:left="360" w:hanging="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 xml:space="preserve">10.00 – 10.20  Официальная тренировка </w:t>
      </w:r>
      <w:r>
        <w:rPr>
          <w:rFonts w:cs="Times New Roman" w:ascii="Times New Roman" w:hAnsi="Times New Roman"/>
          <w:sz w:val="24"/>
          <w:szCs w:val="24"/>
          <w:lang w:val="en-US"/>
        </w:rPr>
        <w:t>S</w:t>
      </w:r>
      <w:r>
        <w:rPr>
          <w:rFonts w:cs="Times New Roman" w:ascii="Times New Roman" w:hAnsi="Times New Roman"/>
          <w:sz w:val="24"/>
          <w:szCs w:val="24"/>
        </w:rPr>
        <w:t>1600</w:t>
      </w:r>
    </w:p>
    <w:p>
      <w:pPr>
        <w:pStyle w:val="Normal"/>
        <w:spacing w:lineRule="auto" w:line="240" w:before="0" w:after="0"/>
        <w:ind w:left="360" w:hanging="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10.30 – 10.50  Официальная тренировка Волга</w:t>
      </w:r>
    </w:p>
    <w:p>
      <w:pPr>
        <w:pStyle w:val="Normal"/>
        <w:spacing w:lineRule="auto" w:line="240" w:before="0" w:after="0"/>
        <w:ind w:left="360" w:hanging="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 xml:space="preserve">11.00 – 11.20  Квалификация </w:t>
      </w:r>
      <w:r>
        <w:rPr>
          <w:rFonts w:cs="Times New Roman" w:ascii="Times New Roman" w:hAnsi="Times New Roman"/>
          <w:sz w:val="24"/>
          <w:szCs w:val="24"/>
          <w:lang w:val="en-US"/>
        </w:rPr>
        <w:t>S</w:t>
      </w:r>
      <w:r>
        <w:rPr>
          <w:rFonts w:cs="Times New Roman" w:ascii="Times New Roman" w:hAnsi="Times New Roman"/>
          <w:sz w:val="24"/>
          <w:szCs w:val="24"/>
        </w:rPr>
        <w:t>1600</w:t>
      </w:r>
    </w:p>
    <w:p>
      <w:pPr>
        <w:pStyle w:val="Normal"/>
        <w:spacing w:lineRule="auto" w:line="240" w:before="0" w:after="0"/>
        <w:ind w:left="360" w:hang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11.30 – 11.50  Квалификация Волга + Жигули</w:t>
      </w:r>
    </w:p>
    <w:p>
      <w:pPr>
        <w:pStyle w:val="Normal"/>
        <w:spacing w:lineRule="auto" w:line="240" w:before="0" w:after="0"/>
        <w:ind w:left="360" w:hang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12.00 – 12.20  Открытие соревнования</w:t>
      </w:r>
    </w:p>
    <w:p>
      <w:pPr>
        <w:pStyle w:val="Normal"/>
        <w:spacing w:lineRule="auto" w:line="240" w:before="0" w:after="0"/>
        <w:ind w:left="360" w:hanging="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 xml:space="preserve">12.30 – 12.45  Предстартовая процедура </w:t>
      </w:r>
      <w:r>
        <w:rPr>
          <w:rFonts w:cs="Times New Roman" w:ascii="Times New Roman" w:hAnsi="Times New Roman"/>
          <w:sz w:val="24"/>
          <w:szCs w:val="24"/>
          <w:lang w:val="en-US"/>
        </w:rPr>
        <w:t>S</w:t>
      </w:r>
      <w:r>
        <w:rPr>
          <w:rFonts w:cs="Times New Roman" w:ascii="Times New Roman" w:hAnsi="Times New Roman"/>
          <w:sz w:val="24"/>
          <w:szCs w:val="24"/>
        </w:rPr>
        <w:t>1600</w:t>
      </w:r>
    </w:p>
    <w:p>
      <w:pPr>
        <w:pStyle w:val="Normal"/>
        <w:spacing w:lineRule="auto" w:line="240" w:before="0" w:after="0"/>
        <w:ind w:left="360" w:hang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12.45 – 13.15  Гонка 1 </w:t>
      </w:r>
      <w:r>
        <w:rPr>
          <w:rFonts w:cs="Times New Roman" w:ascii="Times New Roman" w:hAnsi="Times New Roman"/>
          <w:sz w:val="24"/>
          <w:szCs w:val="24"/>
          <w:lang w:val="en-US"/>
        </w:rPr>
        <w:t>S</w:t>
      </w:r>
      <w:r>
        <w:rPr>
          <w:rFonts w:cs="Times New Roman" w:ascii="Times New Roman" w:hAnsi="Times New Roman"/>
          <w:sz w:val="24"/>
          <w:szCs w:val="24"/>
        </w:rPr>
        <w:t>1600 (13 кругов старт с хода)</w:t>
      </w:r>
    </w:p>
    <w:p>
      <w:pPr>
        <w:pStyle w:val="Normal"/>
        <w:spacing w:lineRule="auto" w:line="240" w:before="0" w:after="0"/>
        <w:ind w:left="360" w:hang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13.30 – 13.45  Предстартовая процедура Волга + Жигули</w:t>
      </w:r>
    </w:p>
    <w:p>
      <w:pPr>
        <w:pStyle w:val="Normal"/>
        <w:spacing w:lineRule="auto" w:line="240" w:before="0" w:after="0"/>
        <w:ind w:left="360" w:hanging="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13.45 – 14.15  Гонка 1 Волга + Жигули (13 кругов старт с хода)</w:t>
      </w:r>
    </w:p>
    <w:p>
      <w:pPr>
        <w:pStyle w:val="Normal"/>
        <w:spacing w:lineRule="auto" w:line="240" w:before="0" w:after="0"/>
        <w:ind w:left="360" w:hang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14.30 – 14.45  Предстартовая процедура </w:t>
      </w:r>
      <w:r>
        <w:rPr>
          <w:rFonts w:cs="Times New Roman" w:ascii="Times New Roman" w:hAnsi="Times New Roman"/>
          <w:sz w:val="24"/>
          <w:szCs w:val="24"/>
          <w:lang w:val="en-US"/>
        </w:rPr>
        <w:t>S</w:t>
      </w:r>
      <w:r>
        <w:rPr>
          <w:rFonts w:cs="Times New Roman" w:ascii="Times New Roman" w:hAnsi="Times New Roman"/>
          <w:sz w:val="24"/>
          <w:szCs w:val="24"/>
        </w:rPr>
        <w:t>1600</w:t>
      </w:r>
    </w:p>
    <w:p>
      <w:pPr>
        <w:pStyle w:val="Normal"/>
        <w:spacing w:lineRule="auto" w:line="240" w:before="0" w:after="0"/>
        <w:ind w:left="360" w:hanging="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 xml:space="preserve">14.45 – 15.20  Гонка 2 </w:t>
      </w:r>
      <w:r>
        <w:rPr>
          <w:rFonts w:cs="Times New Roman" w:ascii="Times New Roman" w:hAnsi="Times New Roman"/>
          <w:sz w:val="24"/>
          <w:szCs w:val="24"/>
          <w:lang w:val="en-US"/>
        </w:rPr>
        <w:t>S</w:t>
      </w:r>
      <w:r>
        <w:rPr>
          <w:rFonts w:cs="Times New Roman" w:ascii="Times New Roman" w:hAnsi="Times New Roman"/>
          <w:sz w:val="24"/>
          <w:szCs w:val="24"/>
        </w:rPr>
        <w:t>1600 (15 кругов старт с места)</w:t>
      </w:r>
    </w:p>
    <w:p>
      <w:pPr>
        <w:pStyle w:val="Normal"/>
        <w:spacing w:lineRule="auto" w:line="240" w:before="0" w:after="0"/>
        <w:ind w:left="360" w:hang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15.30 – 15.45  Предстартовая процедура Волга + Жигули</w:t>
      </w:r>
    </w:p>
    <w:p>
      <w:pPr>
        <w:pStyle w:val="Normal"/>
        <w:spacing w:lineRule="auto" w:line="240" w:before="0" w:after="0"/>
        <w:ind w:left="360" w:hang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15.45 – 16.20  Гонка 2 Волга + Жигули (15 кругов старт с места)</w:t>
      </w:r>
    </w:p>
    <w:p>
      <w:pPr>
        <w:pStyle w:val="Normal"/>
        <w:spacing w:lineRule="auto" w:line="240" w:before="0" w:after="0"/>
        <w:ind w:left="360" w:hang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numPr>
          <w:ilvl w:val="0"/>
          <w:numId w:val="9"/>
        </w:numPr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Программа соревнований, по решению организатора может быть изменена*</w:t>
      </w:r>
    </w:p>
    <w:p>
      <w:pPr>
        <w:pStyle w:val="Normal"/>
        <w:spacing w:lineRule="auto" w:line="240" w:before="0" w:after="0"/>
        <w:ind w:left="360" w:hang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before="0" w:after="0"/>
        <w:jc w:val="center"/>
        <w:rPr/>
      </w:pPr>
      <w:r>
        <w:rPr>
          <w:rFonts w:cs="Times New Roman" w:ascii="Times New Roman" w:hAnsi="Times New Roman"/>
          <w:sz w:val="28"/>
          <w:szCs w:val="28"/>
          <w:lang w:val="en-US"/>
        </w:rPr>
        <w:t>V</w:t>
      </w:r>
      <w:r>
        <w:rPr>
          <w:rFonts w:cs="Times New Roman" w:ascii="Times New Roman" w:hAnsi="Times New Roman"/>
          <w:sz w:val="28"/>
          <w:szCs w:val="28"/>
        </w:rPr>
        <w:t>. ТРЕБОВАНИЯ К УЧАСТНИКАМ И УСЛОВИЯ ИХ ДОПУСКА.</w:t>
      </w:r>
    </w:p>
    <w:p>
      <w:pPr>
        <w:pStyle w:val="Style20"/>
        <w:numPr>
          <w:ilvl w:val="0"/>
          <w:numId w:val="7"/>
        </w:numPr>
        <w:spacing w:lineRule="auto" w:line="240" w:before="0" w:after="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К спортивным соревнованиям допускаются спортсмены следующих возрастных категорий: мужчины, женщины, Юноши, девушки (15-17 лет)</w:t>
      </w:r>
    </w:p>
    <w:p>
      <w:pPr>
        <w:pStyle w:val="Style20"/>
        <w:spacing w:lineRule="auto" w:line="240" w:before="0" w:after="0"/>
        <w:ind w:left="360" w:hanging="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Style20"/>
        <w:numPr>
          <w:ilvl w:val="0"/>
          <w:numId w:val="7"/>
        </w:numPr>
        <w:spacing w:lineRule="auto" w:line="240" w:before="0" w:after="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Спортивные соревнования проходят по следующим дисциплинам:</w:t>
      </w:r>
    </w:p>
    <w:p>
      <w:pPr>
        <w:pStyle w:val="Normal"/>
        <w:spacing w:lineRule="auto" w:line="240"/>
        <w:ind w:left="360" w:hanging="0"/>
        <w:rPr/>
      </w:pPr>
      <w:r>
        <w:rPr>
          <w:rFonts w:cs="Times New Roman" w:ascii="Times New Roman" w:hAnsi="Times New Roman"/>
          <w:sz w:val="24"/>
          <w:szCs w:val="24"/>
        </w:rPr>
        <w:t>кольцевые гонки "</w:t>
      </w:r>
      <w:r>
        <w:rPr>
          <w:rFonts w:cs="Times New Roman" w:ascii="Times New Roman" w:hAnsi="Times New Roman"/>
          <w:sz w:val="24"/>
          <w:szCs w:val="24"/>
          <w:lang w:val="en-US"/>
        </w:rPr>
        <w:t>S</w:t>
      </w:r>
      <w:r>
        <w:rPr>
          <w:rFonts w:cs="Times New Roman" w:ascii="Times New Roman" w:hAnsi="Times New Roman"/>
          <w:sz w:val="24"/>
          <w:szCs w:val="24"/>
        </w:rPr>
        <w:t xml:space="preserve"> 1600" 1660261811Л</w:t>
      </w:r>
    </w:p>
    <w:p>
      <w:pPr>
        <w:pStyle w:val="Normal"/>
        <w:spacing w:lineRule="auto" w:line="240"/>
        <w:ind w:left="360" w:hanging="0"/>
        <w:rPr/>
      </w:pPr>
      <w:r>
        <w:rPr>
          <w:rFonts w:cs="Times New Roman" w:ascii="Times New Roman" w:hAnsi="Times New Roman"/>
          <w:sz w:val="24"/>
          <w:szCs w:val="24"/>
        </w:rPr>
        <w:t>кольцевые гонки "</w:t>
      </w:r>
      <w:r>
        <w:rPr>
          <w:rFonts w:cs="Times New Roman" w:ascii="Times New Roman" w:hAnsi="Times New Roman"/>
          <w:sz w:val="24"/>
          <w:szCs w:val="24"/>
          <w:lang w:val="en-US"/>
        </w:rPr>
        <w:t>S</w:t>
      </w:r>
      <w:r>
        <w:rPr>
          <w:rFonts w:cs="Times New Roman" w:ascii="Times New Roman" w:hAnsi="Times New Roman"/>
          <w:sz w:val="24"/>
          <w:szCs w:val="24"/>
        </w:rPr>
        <w:t xml:space="preserve"> 1600 юниор" 1660261811Л</w:t>
      </w:r>
    </w:p>
    <w:p>
      <w:pPr>
        <w:pStyle w:val="Normal"/>
        <w:spacing w:lineRule="auto" w:line="240"/>
        <w:rPr>
          <w:rFonts w:ascii="Times New Roman" w:hAnsi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 xml:space="preserve">      </w:t>
      </w:r>
      <w:r>
        <w:rPr>
          <w:rFonts w:cs="Times New Roman" w:ascii="Times New Roman" w:hAnsi="Times New Roman"/>
          <w:sz w:val="24"/>
          <w:szCs w:val="24"/>
        </w:rPr>
        <w:t>кольцевые гонки "Волга" 1660241811Л</w:t>
      </w:r>
    </w:p>
    <w:p>
      <w:pPr>
        <w:pStyle w:val="Normal"/>
        <w:spacing w:lineRule="auto" w:line="240"/>
        <w:rPr>
          <w:rFonts w:ascii="Times New Roman" w:hAnsi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 xml:space="preserve">      </w:t>
      </w:r>
      <w:r>
        <w:rPr>
          <w:rFonts w:cs="Times New Roman" w:ascii="Times New Roman" w:hAnsi="Times New Roman"/>
          <w:color w:val="000000"/>
          <w:sz w:val="24"/>
          <w:szCs w:val="24"/>
          <w:shd w:fill="FFFFFF" w:val="clear"/>
        </w:rPr>
        <w:t>кольцевые гонки "Лада"   1660251811Л</w:t>
      </w:r>
    </w:p>
    <w:p>
      <w:pPr>
        <w:pStyle w:val="Normal"/>
        <w:numPr>
          <w:ilvl w:val="0"/>
          <w:numId w:val="7"/>
        </w:numPr>
        <w:autoSpaceDE w:val="false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К участию в соревнованиях допускаются Пилоты, подавшие заявки и оплатившие стартовый взнос, имеющие действующие Лицензии  Пилота, выданные  РАФ не ниже категории «Е» (в зачётной группе «</w:t>
      </w:r>
      <w:r>
        <w:rPr>
          <w:rFonts w:cs="Times New Roman" w:ascii="Times New Roman" w:hAnsi="Times New Roman"/>
          <w:sz w:val="24"/>
          <w:szCs w:val="24"/>
          <w:lang w:val="en-US"/>
        </w:rPr>
        <w:t>S</w:t>
      </w:r>
      <w:r>
        <w:rPr>
          <w:rFonts w:cs="Times New Roman" w:ascii="Times New Roman" w:hAnsi="Times New Roman"/>
          <w:sz w:val="24"/>
          <w:szCs w:val="24"/>
        </w:rPr>
        <w:t>1600 Юниор» не ниже категории «Е-ю») и соответствующие критериям допуска для участия в официальных соревнованиях. Пилоты, не обладающие по мнению КСК, достаточным уровнем подготовки и представляющие  опасность для соревнующихся, могут быть  решением КСК отстранены от тренировок или гонок.</w:t>
      </w:r>
      <w:r>
        <w:rPr>
          <w:rFonts w:eastAsia="Arial-BoldMT;MS Mincho" w:cs="Times New Roman" w:ascii="Times New Roman" w:hAnsi="Times New Roman"/>
          <w:bCs/>
          <w:sz w:val="24"/>
          <w:szCs w:val="24"/>
        </w:rPr>
        <w:t xml:space="preserve"> </w:t>
      </w:r>
    </w:p>
    <w:p>
      <w:pPr>
        <w:pStyle w:val="Normal"/>
        <w:numPr>
          <w:ilvl w:val="0"/>
          <w:numId w:val="7"/>
        </w:numPr>
        <w:autoSpaceDE w:val="false"/>
        <w:spacing w:lineRule="auto" w:line="240" w:before="0" w:after="0"/>
        <w:rPr/>
      </w:pPr>
      <w:r>
        <w:rPr>
          <w:rFonts w:cs="Times New Roman" w:ascii="Times New Roman" w:hAnsi="Times New Roman"/>
          <w:sz w:val="24"/>
          <w:szCs w:val="24"/>
        </w:rPr>
        <w:t>Экипировка Пилотов должна соответствовать Приложению 15 к КиТТ. Допускается, применение экипировки с просроченной омологацией, при условии отсутствия у экипировки повреждений. Применение системы FHR (HANS®) рекомендовано.</w:t>
      </w:r>
    </w:p>
    <w:p>
      <w:pPr>
        <w:pStyle w:val="Normal"/>
        <w:autoSpaceDE w:val="false"/>
        <w:spacing w:lineRule="auto" w:line="240" w:before="0" w:after="0"/>
        <w:ind w:left="644" w:hanging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autoSpaceDE w:val="false"/>
        <w:spacing w:lineRule="auto" w:line="240" w:before="0" w:after="0"/>
        <w:ind w:left="644" w:hanging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autoSpaceDE w:val="false"/>
        <w:spacing w:lineRule="auto" w:line="240" w:before="0" w:after="0"/>
        <w:ind w:left="644" w:hanging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autoSpaceDE w:val="false"/>
        <w:spacing w:lineRule="auto" w:line="240" w:before="0" w:after="0"/>
        <w:ind w:left="644" w:hanging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autoSpaceDE w:val="false"/>
        <w:spacing w:lineRule="auto" w:line="240" w:before="0" w:after="0"/>
        <w:ind w:left="644" w:hanging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autoSpaceDE w:val="false"/>
        <w:spacing w:lineRule="auto" w:line="240" w:before="0" w:after="0"/>
        <w:ind w:left="644" w:hanging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autoSpaceDE w:val="false"/>
        <w:spacing w:lineRule="auto" w:line="240" w:before="0" w:after="0"/>
        <w:ind w:left="644" w:hanging="0"/>
        <w:jc w:val="both"/>
        <w:rPr>
          <w:rFonts w:ascii="Times New Roman" w:hAnsi="Times New Roman" w:eastAsia="Arial-BoldMT;MS Mincho" w:cs="Times New Roman"/>
          <w:b/>
          <w:b/>
          <w:bCs/>
          <w:sz w:val="24"/>
          <w:szCs w:val="24"/>
        </w:rPr>
      </w:pPr>
      <w:r>
        <w:rPr>
          <w:rFonts w:eastAsia="Arial-BoldMT;MS Mincho"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autoSpaceDE w:val="false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eastAsia="Arial-BoldMT;MS Mincho" w:cs="Times New Roman" w:ascii="Times New Roman" w:hAnsi="Times New Roman"/>
          <w:b/>
          <w:bCs/>
          <w:sz w:val="24"/>
          <w:szCs w:val="24"/>
        </w:rPr>
        <w:t>ДОПУСКАЕМЫЕ АВТОМОБИЛИ</w:t>
      </w:r>
    </w:p>
    <w:p>
      <w:pPr>
        <w:pStyle w:val="Normal"/>
        <w:numPr>
          <w:ilvl w:val="0"/>
          <w:numId w:val="7"/>
        </w:numPr>
        <w:autoSpaceDE w:val="false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eastAsia="Arial-BoldMT;MS Mincho" w:cs="Times New Roman" w:ascii="Times New Roman" w:hAnsi="Times New Roman"/>
          <w:bCs/>
          <w:sz w:val="24"/>
          <w:szCs w:val="24"/>
        </w:rPr>
        <w:t>К участию в соревнованиях допускаются автомобили, соответствующие действующим в 2021 году КиТТ и дополнительным техническим требованиям к автомобилям участвующим в кольцевых гонках.</w:t>
      </w:r>
    </w:p>
    <w:p>
      <w:pPr>
        <w:pStyle w:val="Normal"/>
        <w:autoSpaceDE w:val="false"/>
        <w:spacing w:lineRule="auto" w:line="240" w:before="0" w:after="0"/>
        <w:rPr>
          <w:rFonts w:ascii="Times New Roman" w:hAnsi="Times New Roman" w:eastAsia="Arial-BoldMT;MS Mincho" w:cs="Times New Roman"/>
          <w:bCs/>
          <w:sz w:val="24"/>
          <w:szCs w:val="24"/>
        </w:rPr>
      </w:pPr>
      <w:r>
        <w:rPr>
          <w:rFonts w:eastAsia="Times New Roman" w:cs="Times New Roman" w:ascii="Times New Roman" w:hAnsi="Times New Roman"/>
          <w:bCs/>
          <w:sz w:val="24"/>
          <w:szCs w:val="24"/>
        </w:rPr>
        <w:t xml:space="preserve">        </w:t>
      </w:r>
      <w:r>
        <w:rPr>
          <w:rFonts w:eastAsia="Arial-BoldMT;MS Mincho" w:cs="Times New Roman" w:ascii="Times New Roman" w:hAnsi="Times New Roman"/>
          <w:bCs/>
          <w:sz w:val="24"/>
          <w:szCs w:val="24"/>
        </w:rPr>
        <w:t>- В зачетную группу «</w:t>
      </w:r>
      <w:r>
        <w:rPr>
          <w:rFonts w:eastAsia="Arial-BoldMT;MS Mincho" w:cs="Times New Roman" w:ascii="Times New Roman" w:hAnsi="Times New Roman"/>
          <w:bCs/>
          <w:sz w:val="24"/>
          <w:szCs w:val="24"/>
          <w:lang w:val="en-US"/>
        </w:rPr>
        <w:t>S</w:t>
      </w:r>
      <w:r>
        <w:rPr>
          <w:rFonts w:eastAsia="Arial-BoldMT;MS Mincho" w:cs="Times New Roman" w:ascii="Times New Roman" w:hAnsi="Times New Roman"/>
          <w:bCs/>
          <w:sz w:val="24"/>
          <w:szCs w:val="24"/>
        </w:rPr>
        <w:t>1600» допускаются автомобили, подготовленные по  «Техническим требованиям к автомобилям класса «</w:t>
      </w:r>
      <w:r>
        <w:rPr>
          <w:rFonts w:eastAsia="Arial-BoldMT;MS Mincho" w:cs="Times New Roman" w:ascii="Times New Roman" w:hAnsi="Times New Roman"/>
          <w:bCs/>
          <w:sz w:val="24"/>
          <w:szCs w:val="24"/>
          <w:lang w:val="en-US"/>
        </w:rPr>
        <w:t>S</w:t>
      </w:r>
      <w:r>
        <w:rPr>
          <w:rFonts w:eastAsia="Arial-BoldMT;MS Mincho" w:cs="Times New Roman" w:ascii="Times New Roman" w:hAnsi="Times New Roman"/>
          <w:bCs/>
          <w:sz w:val="24"/>
          <w:szCs w:val="24"/>
        </w:rPr>
        <w:t>1600» 2021года (Приложение №26 к КиТТ 2021 года), Техническим требованиям к автомобилям класса «Национальный» (Приложение №26 к КиТТ 2014 года) и дополнений к нему.</w:t>
      </w:r>
    </w:p>
    <w:p>
      <w:pPr>
        <w:pStyle w:val="Normal"/>
        <w:autoSpaceDE w:val="false"/>
        <w:spacing w:lineRule="auto" w:line="240" w:before="0" w:after="0"/>
        <w:rPr>
          <w:rFonts w:ascii="Times New Roman" w:hAnsi="Times New Roman" w:eastAsia="Arial-BoldMT;MS Mincho" w:cs="Times New Roman"/>
          <w:bCs/>
          <w:sz w:val="24"/>
          <w:szCs w:val="24"/>
        </w:rPr>
      </w:pPr>
      <w:r>
        <w:rPr>
          <w:rFonts w:eastAsia="Times New Roman" w:cs="Times New Roman" w:ascii="Times New Roman" w:hAnsi="Times New Roman"/>
          <w:bCs/>
          <w:sz w:val="24"/>
          <w:szCs w:val="24"/>
        </w:rPr>
        <w:t xml:space="preserve">        </w:t>
      </w:r>
      <w:r>
        <w:rPr>
          <w:rFonts w:eastAsia="Arial-BoldMT;MS Mincho" w:cs="Times New Roman" w:ascii="Times New Roman" w:hAnsi="Times New Roman"/>
          <w:bCs/>
          <w:sz w:val="24"/>
          <w:szCs w:val="24"/>
        </w:rPr>
        <w:t>- В зачетную группу «Волга» допускаются автомобили, удовлетворяющие «Специальным техническим требованиям к автомобилям класса «Волга», участвующими в спортивных соревнованиях» (Приложение №20 к КиТТ), «Специальным техническим требованиям к автомобилям класса «Волга 406».</w:t>
      </w:r>
    </w:p>
    <w:p>
      <w:pPr>
        <w:pStyle w:val="Normal"/>
        <w:autoSpaceDE w:val="false"/>
        <w:spacing w:lineRule="auto" w:line="240" w:before="0" w:after="0"/>
        <w:rPr/>
      </w:pPr>
      <w:r>
        <w:rPr>
          <w:rFonts w:eastAsia="Times New Roman" w:cs="Times New Roman" w:ascii="Times New Roman" w:hAnsi="Times New Roman"/>
          <w:bCs/>
          <w:sz w:val="24"/>
          <w:szCs w:val="24"/>
        </w:rPr>
        <w:t xml:space="preserve">      </w:t>
      </w:r>
      <w:r>
        <w:rPr>
          <w:rFonts w:eastAsia="Arial-BoldMT;MS Mincho" w:cs="Times New Roman" w:ascii="Times New Roman" w:hAnsi="Times New Roman"/>
          <w:bCs/>
          <w:sz w:val="24"/>
          <w:szCs w:val="24"/>
        </w:rPr>
        <w:t>- В зачетную группу «</w:t>
      </w:r>
      <w:r>
        <w:rPr>
          <w:rFonts w:eastAsia="Arial-BoldMT;MS Mincho" w:cs="Times New Roman" w:ascii="Times New Roman" w:hAnsi="Times New Roman"/>
          <w:bCs/>
          <w:sz w:val="24"/>
          <w:szCs w:val="24"/>
          <w:lang w:val="en-US"/>
        </w:rPr>
        <w:t>S</w:t>
      </w:r>
      <w:r>
        <w:rPr>
          <w:rFonts w:eastAsia="Arial-BoldMT;MS Mincho" w:cs="Times New Roman" w:ascii="Times New Roman" w:hAnsi="Times New Roman"/>
          <w:bCs/>
          <w:sz w:val="24"/>
          <w:szCs w:val="24"/>
        </w:rPr>
        <w:t>1600 Юниор» допускаются автомобили, удовлетворяющие «Специальным техническим требованиям к автомобилям зачетной группы «</w:t>
      </w:r>
      <w:r>
        <w:rPr>
          <w:rFonts w:eastAsia="Arial-BoldMT;MS Mincho" w:cs="Times New Roman" w:ascii="Times New Roman" w:hAnsi="Times New Roman"/>
          <w:bCs/>
          <w:sz w:val="24"/>
          <w:szCs w:val="24"/>
          <w:lang w:val="en-US"/>
        </w:rPr>
        <w:t>S</w:t>
      </w:r>
      <w:r>
        <w:rPr>
          <w:rFonts w:eastAsia="Arial-BoldMT;MS Mincho" w:cs="Times New Roman" w:ascii="Times New Roman" w:hAnsi="Times New Roman"/>
          <w:bCs/>
          <w:sz w:val="24"/>
          <w:szCs w:val="24"/>
        </w:rPr>
        <w:t xml:space="preserve">1600 Юниоры 2021» для кольцевых гонок в России - </w:t>
      </w:r>
      <w:r>
        <w:rPr>
          <w:rFonts w:eastAsia="Arial-BoldMT;MS Mincho" w:cs="Times New Roman" w:ascii="Times New Roman" w:hAnsi="Times New Roman"/>
          <w:b/>
          <w:bCs/>
          <w:sz w:val="24"/>
          <w:szCs w:val="24"/>
        </w:rPr>
        <w:t>2021</w:t>
      </w:r>
      <w:r>
        <w:rPr>
          <w:rFonts w:eastAsia="Arial-BoldMT;MS Mincho" w:cs="Times New Roman" w:ascii="Times New Roman" w:hAnsi="Times New Roman"/>
          <w:bCs/>
          <w:sz w:val="24"/>
          <w:szCs w:val="24"/>
        </w:rPr>
        <w:t xml:space="preserve">», удовлетворяющие «Специальным техническим требованиям к автомобилям зачетной группы </w:t>
      </w:r>
      <w:r>
        <w:rPr>
          <w:rFonts w:eastAsia="Arial-BoldMT;MS Mincho" w:cs="Times New Roman" w:ascii="Times New Roman" w:hAnsi="Times New Roman"/>
          <w:bCs/>
          <w:sz w:val="24"/>
          <w:szCs w:val="24"/>
          <w:lang w:val="en-US"/>
        </w:rPr>
        <w:t>S</w:t>
      </w:r>
      <w:r>
        <w:rPr>
          <w:rFonts w:eastAsia="Arial-BoldMT;MS Mincho" w:cs="Times New Roman" w:ascii="Times New Roman" w:hAnsi="Times New Roman"/>
          <w:bCs/>
          <w:sz w:val="24"/>
          <w:szCs w:val="24"/>
        </w:rPr>
        <w:t xml:space="preserve">1600 Лайт 2019», «Специальным техническим требованиям к автомобилям зачетной группы НАЦИОНАЛЬНЫЙ ЮНИОР» , для кольцевых гонок в России - </w:t>
      </w:r>
      <w:r>
        <w:rPr>
          <w:rFonts w:eastAsia="Arial-BoldMT;MS Mincho" w:cs="Times New Roman" w:ascii="Times New Roman" w:hAnsi="Times New Roman"/>
          <w:b/>
          <w:bCs/>
          <w:sz w:val="24"/>
          <w:szCs w:val="24"/>
        </w:rPr>
        <w:t>2018</w:t>
      </w:r>
      <w:r>
        <w:rPr>
          <w:rFonts w:eastAsia="Arial-BoldMT;MS Mincho" w:cs="Times New Roman" w:ascii="Times New Roman" w:hAnsi="Times New Roman"/>
          <w:bCs/>
          <w:sz w:val="24"/>
          <w:szCs w:val="24"/>
        </w:rPr>
        <w:t>»</w:t>
        <w:tab/>
        <w:tab/>
      </w:r>
    </w:p>
    <w:p>
      <w:pPr>
        <w:pStyle w:val="Normal"/>
        <w:autoSpaceDE w:val="false"/>
        <w:spacing w:lineRule="auto" w:line="240" w:before="0" w:after="0"/>
        <w:rPr>
          <w:rFonts w:ascii="Times New Roman" w:hAnsi="Times New Roman" w:eastAsia="Arial-BoldMT;MS Mincho" w:cs="Times New Roman"/>
          <w:bCs/>
          <w:sz w:val="24"/>
          <w:szCs w:val="24"/>
        </w:rPr>
      </w:pPr>
      <w:r>
        <w:rPr>
          <w:rFonts w:eastAsia="Times New Roman" w:cs="Times New Roman" w:ascii="Times New Roman" w:hAnsi="Times New Roman"/>
          <w:bCs/>
          <w:sz w:val="24"/>
          <w:szCs w:val="24"/>
        </w:rPr>
        <w:t xml:space="preserve">      </w:t>
      </w:r>
      <w:r>
        <w:rPr>
          <w:rFonts w:eastAsia="Arial-BoldMT;MS Mincho" w:cs="Times New Roman" w:ascii="Times New Roman" w:hAnsi="Times New Roman"/>
          <w:bCs/>
          <w:sz w:val="24"/>
          <w:szCs w:val="24"/>
        </w:rPr>
        <w:t>- В зачетную группу «Лада» допускаются автомобили, подготовленные по  «Техническим требованиям к классическим автомобилям класса «Лада» 2014 года (Приложение №26 к КиТТ 2014 года) и дополнений к нему.</w:t>
      </w:r>
    </w:p>
    <w:p>
      <w:pPr>
        <w:pStyle w:val="Normal"/>
        <w:tabs>
          <w:tab w:val="clear" w:pos="708"/>
          <w:tab w:val="left" w:pos="880" w:leader="none"/>
        </w:tabs>
        <w:autoSpaceDE w:val="false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Все автомобили должны быть оборудованы исправными датчиками автоматической системы хронометража "</w:t>
      </w:r>
      <w:r>
        <w:rPr>
          <w:rFonts w:cs="Times New Roman" w:ascii="Times New Roman" w:hAnsi="Times New Roman"/>
          <w:sz w:val="24"/>
          <w:szCs w:val="24"/>
          <w:lang w:val="en-US"/>
        </w:rPr>
        <w:t>TAG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  <w:lang w:val="en-US"/>
        </w:rPr>
        <w:t>HEUER</w:t>
      </w:r>
      <w:r>
        <w:rPr>
          <w:rFonts w:cs="Times New Roman" w:ascii="Times New Roman" w:hAnsi="Times New Roman"/>
          <w:sz w:val="24"/>
          <w:szCs w:val="24"/>
        </w:rPr>
        <w:t>", номера которых указываются Участниками на Административной проверке. Датчики могут быть предоставлены в аренду Организатором при этом, участник, несёт ответственность за работоспособность и в случае порчи датчика компенсирует его полную стоимость. .</w:t>
      </w:r>
    </w:p>
    <w:p>
      <w:pPr>
        <w:pStyle w:val="Normal"/>
        <w:tabs>
          <w:tab w:val="clear" w:pos="708"/>
          <w:tab w:val="left" w:pos="880" w:leader="none"/>
        </w:tabs>
        <w:autoSpaceDE w:val="false"/>
        <w:spacing w:lineRule="auto" w:line="240" w:before="0" w:after="0"/>
        <w:rPr>
          <w:rFonts w:ascii="Times New Roman" w:hAnsi="Times New Roman" w:eastAsia="Arial-BoldMT;MS Mincho" w:cs="Times New Roman"/>
          <w:bCs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Все автомобили, участвующие в соревновании должны иметь установленный РАФ Технический Паспорт на автомобиль, участвующий в спортивных соревнованиях (СТП).</w:t>
      </w:r>
    </w:p>
    <w:p>
      <w:pPr>
        <w:pStyle w:val="Normal"/>
        <w:tabs>
          <w:tab w:val="clear" w:pos="708"/>
          <w:tab w:val="left" w:pos="880" w:leader="none"/>
        </w:tabs>
        <w:autoSpaceDE w:val="false"/>
        <w:spacing w:lineRule="auto" w:line="240" w:before="0" w:after="0"/>
        <w:rPr>
          <w:rFonts w:ascii="Times New Roman" w:hAnsi="Times New Roman" w:eastAsia="Arial-BoldMT;MS Mincho" w:cs="Times New Roman"/>
          <w:bCs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Техническая инспекция проводится в соответствии с программой этапа соревнования.</w:t>
      </w:r>
    </w:p>
    <w:p>
      <w:pPr>
        <w:pStyle w:val="Normal"/>
        <w:tabs>
          <w:tab w:val="clear" w:pos="708"/>
          <w:tab w:val="left" w:pos="880" w:leader="none"/>
        </w:tabs>
        <w:autoSpaceDE w:val="false"/>
        <w:spacing w:lineRule="auto" w:line="240" w:before="0" w:after="0"/>
        <w:rPr>
          <w:rFonts w:ascii="Times New Roman" w:hAnsi="Times New Roman" w:eastAsia="Arial-BoldMT;MS Mincho" w:cs="Times New Roman"/>
          <w:bCs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Автомобиль участника должен нести на себе обязательную рекламу Организатора в течение всего соревнования. Отсутствие обязательной рекламы может послужить причиной отказа в допуске автомобиля в заезд.</w:t>
      </w:r>
    </w:p>
    <w:p>
      <w:pPr>
        <w:pStyle w:val="Normal"/>
        <w:tabs>
          <w:tab w:val="clear" w:pos="708"/>
          <w:tab w:val="left" w:pos="880" w:leader="none"/>
        </w:tabs>
        <w:autoSpaceDE w:val="false"/>
        <w:spacing w:lineRule="auto" w:line="240" w:before="0" w:after="0"/>
        <w:rPr>
          <w:rFonts w:ascii="Times New Roman" w:hAnsi="Times New Roman" w:eastAsia="Arial-BoldMT;MS Mincho" w:cs="Times New Roman"/>
          <w:bCs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На всех автомобилях должны использоваться шины, указанные в Приложении 3. Использование шинных грелок запрещено во всех зачетных группах.</w:t>
      </w:r>
    </w:p>
    <w:p>
      <w:pPr>
        <w:pStyle w:val="Normal"/>
        <w:tabs>
          <w:tab w:val="clear" w:pos="708"/>
          <w:tab w:val="left" w:pos="880" w:leader="none"/>
        </w:tabs>
        <w:autoSpaceDE w:val="false"/>
        <w:spacing w:lineRule="auto" w:line="240" w:before="0" w:after="0"/>
        <w:rPr>
          <w:rFonts w:ascii="Times New Roman" w:hAnsi="Times New Roman" w:eastAsia="Arial-BoldMT;MS Mincho" w:cs="Times New Roman"/>
          <w:bCs/>
          <w:sz w:val="24"/>
          <w:szCs w:val="24"/>
        </w:rPr>
      </w:pPr>
      <w:r>
        <w:rPr>
          <w:rFonts w:eastAsia="Arial-BoldMT;MS Mincho" w:cs="Times New Roman" w:ascii="Times New Roman" w:hAnsi="Times New Roman"/>
          <w:bCs/>
          <w:sz w:val="24"/>
          <w:szCs w:val="24"/>
        </w:rPr>
        <w:t>Во всех автомобилях должно использоваться топливо, указанное в Приложении 4.</w:t>
      </w:r>
    </w:p>
    <w:p>
      <w:pPr>
        <w:pStyle w:val="Normal"/>
        <w:tabs>
          <w:tab w:val="clear" w:pos="708"/>
          <w:tab w:val="left" w:pos="880" w:leader="none"/>
        </w:tabs>
        <w:autoSpaceDE w:val="false"/>
        <w:spacing w:lineRule="auto" w:line="240" w:before="0" w:after="0"/>
        <w:rPr>
          <w:rFonts w:ascii="Times New Roman" w:hAnsi="Times New Roman" w:eastAsia="Arial-BoldMT;MS Mincho" w:cs="Times New Roman"/>
          <w:bCs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На этап одним Водителем могут быть заявлены максимум два автомобиля в каждой зачетной группе. </w:t>
      </w:r>
    </w:p>
    <w:p>
      <w:pPr>
        <w:pStyle w:val="Normal"/>
        <w:autoSpaceDE w:val="false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В случае, заявки одним Водителем двух автомобилей в одной зачётной группе на этап, участник обязан предоставить к осмотру каждый автомобиль на ПТИ (Предварительную Техническую Инспекцию), а так же на каждой Технической Инспекции по требованию технического контролёра. Подменный автомобиль должен полностью соответствовать Ки ТТ подменяемого. </w:t>
      </w:r>
    </w:p>
    <w:p>
      <w:pPr>
        <w:pStyle w:val="Normal"/>
        <w:autoSpaceDE w:val="false"/>
        <w:spacing w:lineRule="auto" w:line="240" w:before="0" w:after="0"/>
        <w:rPr>
          <w:rFonts w:ascii="Times New Roman" w:hAnsi="Times New Roman" w:eastAsia="Arial-BoldMT;MS Mincho" w:cs="Times New Roman"/>
          <w:bCs/>
          <w:sz w:val="24"/>
          <w:szCs w:val="24"/>
        </w:rPr>
      </w:pPr>
      <w:r>
        <w:rPr>
          <w:rFonts w:eastAsia="Arial-BoldMT;MS Mincho" w:cs="Times New Roman" w:ascii="Times New Roman" w:hAnsi="Times New Roman"/>
          <w:bCs/>
          <w:sz w:val="24"/>
          <w:szCs w:val="24"/>
        </w:rPr>
        <w:t>Смена автомобиля участником допускается один раз  за этап, при  этом запрещена смена автомобиля на протяжении отдельно взятого официального заезда, данный участник обязан стартовать с последней позиции в ближайшей гонке, в которой он будет принимать участие.</w:t>
      </w:r>
    </w:p>
    <w:p>
      <w:pPr>
        <w:pStyle w:val="Normal"/>
        <w:autoSpaceDE w:val="false"/>
        <w:spacing w:lineRule="auto" w:line="240" w:before="0" w:after="0"/>
        <w:rPr>
          <w:rFonts w:ascii="Times New Roman" w:hAnsi="Times New Roman" w:eastAsia="Arial-BoldMT;MS Mincho" w:cs="Times New Roman"/>
          <w:bCs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Порядок применения весовых гандикапов описан в Приложении 1 к данному регламенту.</w:t>
      </w:r>
    </w:p>
    <w:p>
      <w:pPr>
        <w:pStyle w:val="Normal"/>
        <w:autoSpaceDE w:val="false"/>
        <w:spacing w:lineRule="auto" w:line="240" w:before="0" w:after="0"/>
        <w:rPr>
          <w:rFonts w:ascii="Times New Roman" w:hAnsi="Times New Roman" w:eastAsia="Arial-BoldMT;MS Mincho" w:cs="Times New Roman"/>
          <w:bCs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Углубленный технический осмотр производится в соответствии с Приложением 10 к СК РАФ «Положение об углублённом техническом осмотре автомобилей, участвующих в соревнованиях».</w:t>
      </w:r>
    </w:p>
    <w:p>
      <w:pPr>
        <w:pStyle w:val="Normal"/>
        <w:autoSpaceDE w:val="false"/>
        <w:spacing w:lineRule="auto" w:line="240" w:before="0" w:after="0"/>
        <w:rPr/>
      </w:pPr>
      <w:r>
        <w:rPr>
          <w:rFonts w:eastAsia="Arial-BoldMT;MS Mincho" w:cs="Times New Roman" w:ascii="Times New Roman" w:hAnsi="Times New Roman"/>
          <w:bCs/>
          <w:sz w:val="24"/>
          <w:szCs w:val="24"/>
        </w:rPr>
        <w:t>С целью уравнивания соревновательных возможностей, величины изменяемых параметров автомобилей могут неоднократно корректироваться в течение многоэтапного соревнования, но не более одного раза на этапе. Право принятия в ходе сезона решений об уравнивании соревновательных возможностей автомобилей, участвующих в зачётных группах, имеет Организатор.</w:t>
      </w:r>
    </w:p>
    <w:p>
      <w:pPr>
        <w:pStyle w:val="Normal"/>
        <w:autoSpaceDE w:val="false"/>
        <w:spacing w:lineRule="auto" w:line="240" w:before="0" w:after="0"/>
        <w:ind w:left="880" w:hanging="0"/>
        <w:jc w:val="both"/>
        <w:rPr>
          <w:rFonts w:ascii="Times New Roman" w:hAnsi="Times New Roman" w:eastAsia="Arial-BoldMT;MS Mincho" w:cs="Times New Roman"/>
          <w:bCs/>
          <w:sz w:val="24"/>
          <w:szCs w:val="24"/>
        </w:rPr>
      </w:pPr>
      <w:r>
        <w:rPr>
          <w:rFonts w:eastAsia="Times New Roman" w:cs="Times New Roman" w:ascii="Times New Roman" w:hAnsi="Times New Roman"/>
          <w:bCs/>
          <w:sz w:val="24"/>
          <w:szCs w:val="24"/>
        </w:rPr>
        <w:t xml:space="preserve">          </w:t>
      </w:r>
    </w:p>
    <w:p>
      <w:pPr>
        <w:pStyle w:val="Normal"/>
        <w:spacing w:before="0" w:after="0"/>
        <w:jc w:val="center"/>
        <w:rPr/>
      </w:pPr>
      <w:r>
        <w:rPr>
          <w:rFonts w:cs="Times New Roman" w:ascii="Times New Roman" w:hAnsi="Times New Roman"/>
          <w:sz w:val="28"/>
          <w:szCs w:val="28"/>
          <w:lang w:val="en-US"/>
        </w:rPr>
        <w:t>VI</w:t>
      </w:r>
      <w:r>
        <w:rPr>
          <w:rFonts w:cs="Times New Roman" w:ascii="Times New Roman" w:hAnsi="Times New Roman"/>
          <w:sz w:val="28"/>
          <w:szCs w:val="28"/>
        </w:rPr>
        <w:t>. ЗАЯВКИ НА УЧАСТИЕ.</w:t>
      </w:r>
    </w:p>
    <w:p>
      <w:pPr>
        <w:pStyle w:val="Normal"/>
        <w:numPr>
          <w:ilvl w:val="0"/>
          <w:numId w:val="3"/>
        </w:numPr>
        <w:autoSpaceDE w:val="false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eastAsia="Arial-BoldMT;MS Mincho" w:cs="Times New Roman" w:ascii="Times New Roman" w:hAnsi="Times New Roman"/>
          <w:bCs/>
          <w:sz w:val="24"/>
          <w:szCs w:val="24"/>
        </w:rPr>
        <w:t xml:space="preserve">Заявки на участие в личном и командном зачёте подаются не позднее 7 дней до начала соревнования на электронную почту </w:t>
      </w:r>
      <w:hyperlink r:id="rId6">
        <w:r>
          <w:rPr>
            <w:rStyle w:val="InternetLink"/>
            <w:rFonts w:eastAsia="Arial-BoldMT;MS Mincho" w:cs="Times New Roman" w:ascii="Times New Roman" w:hAnsi="Times New Roman"/>
            <w:bCs/>
            <w:sz w:val="24"/>
            <w:szCs w:val="24"/>
            <w:lang w:val="en-US"/>
          </w:rPr>
          <w:t>info</w:t>
        </w:r>
        <w:r>
          <w:rPr>
            <w:rStyle w:val="InternetLink"/>
            <w:rFonts w:eastAsia="Arial-BoldMT;MS Mincho" w:cs="Times New Roman" w:ascii="Times New Roman" w:hAnsi="Times New Roman"/>
            <w:bCs/>
            <w:sz w:val="24"/>
            <w:szCs w:val="24"/>
          </w:rPr>
          <w:t>@</w:t>
        </w:r>
        <w:r>
          <w:rPr>
            <w:rStyle w:val="InternetLink"/>
            <w:rFonts w:eastAsia="Arial-BoldMT;MS Mincho" w:cs="Times New Roman" w:ascii="Times New Roman" w:hAnsi="Times New Roman"/>
            <w:bCs/>
            <w:sz w:val="24"/>
            <w:szCs w:val="24"/>
            <w:lang w:val="en-US"/>
          </w:rPr>
          <w:t>nring</w:t>
        </w:r>
        <w:r>
          <w:rPr>
            <w:rStyle w:val="InternetLink"/>
            <w:rFonts w:eastAsia="Arial-BoldMT;MS Mincho" w:cs="Times New Roman" w:ascii="Times New Roman" w:hAnsi="Times New Roman"/>
            <w:bCs/>
            <w:sz w:val="24"/>
            <w:szCs w:val="24"/>
          </w:rPr>
          <w:t>.</w:t>
        </w:r>
        <w:r>
          <w:rPr>
            <w:rStyle w:val="InternetLink"/>
            <w:rFonts w:eastAsia="Arial-BoldMT;MS Mincho" w:cs="Times New Roman" w:ascii="Times New Roman" w:hAnsi="Times New Roman"/>
            <w:bCs/>
            <w:sz w:val="24"/>
            <w:szCs w:val="24"/>
            <w:lang w:val="en-US"/>
          </w:rPr>
          <w:t>ru</w:t>
        </w:r>
      </w:hyperlink>
      <w:r>
        <w:rPr>
          <w:rFonts w:eastAsia="Arial-BoldMT;MS Mincho" w:cs="Times New Roman" w:ascii="Times New Roman" w:hAnsi="Times New Roman"/>
          <w:bCs/>
          <w:sz w:val="24"/>
          <w:szCs w:val="24"/>
        </w:rPr>
        <w:t xml:space="preserve">..Полностью заполненную и собственноручно подписанную заявку, участник должен предъявить на административной проверке в начале каждого этапа соревнования. Форма заявки приведена в Приложении №2  к данному положению. </w:t>
      </w:r>
    </w:p>
    <w:p>
      <w:pPr>
        <w:pStyle w:val="Style20"/>
        <w:numPr>
          <w:ilvl w:val="0"/>
          <w:numId w:val="3"/>
        </w:numPr>
        <w:spacing w:lineRule="auto" w:line="276" w:before="0"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К заявке прилагаются следующие документы на каждого спортсмена:</w:t>
      </w:r>
    </w:p>
    <w:p>
      <w:pPr>
        <w:pStyle w:val="Style20"/>
        <w:spacing w:lineRule="auto" w:line="276" w:before="0" w:after="0"/>
        <w:ind w:left="360" w:hanging="0"/>
        <w:contextualSpacing/>
        <w:jc w:val="both"/>
        <w:rPr/>
      </w:pPr>
      <w:r>
        <w:rPr>
          <w:rFonts w:eastAsia="Times New Roman" w:cs="Times New Roman" w:ascii="Times New Roman" w:hAnsi="Times New Roman"/>
          <w:sz w:val="24"/>
          <w:szCs w:val="24"/>
        </w:rPr>
        <w:t xml:space="preserve">    </w:t>
      </w:r>
      <w:r>
        <w:rPr>
          <w:rFonts w:cs="Times New Roman" w:ascii="Times New Roman" w:hAnsi="Times New Roman"/>
          <w:sz w:val="24"/>
          <w:szCs w:val="24"/>
        </w:rPr>
        <w:t>- паспорт или иной документ удостоверяющий личность,</w:t>
      </w:r>
    </w:p>
    <w:p>
      <w:pPr>
        <w:pStyle w:val="Style20"/>
        <w:spacing w:lineRule="auto" w:line="276" w:before="0" w:after="0"/>
        <w:ind w:left="360" w:hanging="0"/>
        <w:contextualSpacing/>
        <w:jc w:val="both"/>
        <w:rPr/>
      </w:pPr>
      <w:r>
        <w:rPr>
          <w:rFonts w:eastAsia="Times New Roman" w:cs="Times New Roman" w:ascii="Times New Roman" w:hAnsi="Times New Roman"/>
          <w:sz w:val="24"/>
          <w:szCs w:val="24"/>
        </w:rPr>
        <w:t xml:space="preserve">    </w:t>
      </w:r>
      <w:r>
        <w:rPr>
          <w:rFonts w:cs="Times New Roman" w:ascii="Times New Roman" w:hAnsi="Times New Roman"/>
          <w:sz w:val="24"/>
          <w:szCs w:val="24"/>
        </w:rPr>
        <w:t>- полис обязательного медицинского страхования,</w:t>
      </w:r>
    </w:p>
    <w:p>
      <w:pPr>
        <w:pStyle w:val="Normal"/>
        <w:autoSpaceDE w:val="false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 xml:space="preserve">          </w:t>
      </w:r>
      <w:r>
        <w:rPr>
          <w:rFonts w:cs="Times New Roman" w:ascii="Times New Roman" w:hAnsi="Times New Roman"/>
          <w:sz w:val="24"/>
          <w:szCs w:val="24"/>
        </w:rPr>
        <w:t>- полис страхования жизни и здоровья от несчастных случаев</w:t>
      </w:r>
    </w:p>
    <w:p>
      <w:pPr>
        <w:pStyle w:val="Normal"/>
        <w:autoSpaceDE w:val="false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 xml:space="preserve">          </w:t>
      </w:r>
      <w:r>
        <w:rPr>
          <w:rFonts w:cs="Times New Roman" w:ascii="Times New Roman" w:hAnsi="Times New Roman"/>
          <w:sz w:val="24"/>
          <w:szCs w:val="24"/>
        </w:rPr>
        <w:t>- Национальная Лицензия пилота</w:t>
      </w:r>
    </w:p>
    <w:p>
      <w:pPr>
        <w:pStyle w:val="Normal"/>
        <w:autoSpaceDE w:val="false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 xml:space="preserve">          </w:t>
      </w:r>
      <w:r>
        <w:rPr>
          <w:rFonts w:cs="Times New Roman" w:ascii="Times New Roman" w:hAnsi="Times New Roman"/>
          <w:sz w:val="24"/>
          <w:szCs w:val="24"/>
        </w:rPr>
        <w:t xml:space="preserve">- Персональная национальная лицензия заявителя (для родителей или законных представителей пилотов младше 18 лет) </w:t>
      </w:r>
    </w:p>
    <w:p>
      <w:pPr>
        <w:pStyle w:val="Normal"/>
        <w:autoSpaceDE w:val="false"/>
        <w:spacing w:lineRule="auto" w:line="240" w:before="0" w:after="0"/>
        <w:rPr>
          <w:rFonts w:ascii="Times New Roman" w:hAnsi="Times New Roman" w:eastAsia="Arial-BoldMT;MS Mincho" w:cs="Times New Roman"/>
          <w:bCs/>
          <w:sz w:val="24"/>
          <w:szCs w:val="24"/>
        </w:rPr>
      </w:pPr>
      <w:r>
        <w:rPr>
          <w:rFonts w:eastAsia="Arial-BoldMT;MS Mincho" w:cs="Times New Roman" w:ascii="Times New Roman" w:hAnsi="Times New Roman"/>
          <w:bCs/>
          <w:sz w:val="24"/>
          <w:szCs w:val="24"/>
        </w:rPr>
      </w:r>
    </w:p>
    <w:p>
      <w:pPr>
        <w:pStyle w:val="Normal"/>
        <w:autoSpaceDE w:val="false"/>
        <w:spacing w:lineRule="auto" w:line="240" w:before="0" w:after="0"/>
        <w:rPr>
          <w:rFonts w:ascii="Times New Roman" w:hAnsi="Times New Roman" w:eastAsia="Arial-BoldMT;MS Mincho" w:cs="Times New Roman"/>
          <w:bCs/>
          <w:sz w:val="24"/>
          <w:szCs w:val="24"/>
        </w:rPr>
      </w:pPr>
      <w:r>
        <w:rPr>
          <w:rFonts w:eastAsia="Arial-BoldMT;MS Mincho" w:cs="Times New Roman" w:ascii="Times New Roman" w:hAnsi="Times New Roman"/>
          <w:bCs/>
          <w:sz w:val="24"/>
          <w:szCs w:val="24"/>
        </w:rPr>
      </w:r>
    </w:p>
    <w:p>
      <w:pPr>
        <w:pStyle w:val="Normal"/>
        <w:spacing w:before="0" w:after="0"/>
        <w:jc w:val="center"/>
        <w:rPr/>
      </w:pPr>
      <w:r>
        <w:rPr>
          <w:rFonts w:cs="Times New Roman" w:ascii="Times New Roman" w:hAnsi="Times New Roman"/>
          <w:sz w:val="28"/>
          <w:szCs w:val="28"/>
          <w:lang w:val="en-US"/>
        </w:rPr>
        <w:t>VII</w:t>
      </w:r>
      <w:r>
        <w:rPr>
          <w:rFonts w:cs="Times New Roman" w:ascii="Times New Roman" w:hAnsi="Times New Roman"/>
          <w:sz w:val="28"/>
          <w:szCs w:val="28"/>
        </w:rPr>
        <w:t>. УСЛОВИЯ ПОДВЕДЕНИЯ ИТОГОВ.</w:t>
      </w:r>
    </w:p>
    <w:p>
      <w:pPr>
        <w:pStyle w:val="Normal"/>
        <w:numPr>
          <w:ilvl w:val="1"/>
          <w:numId w:val="6"/>
        </w:numPr>
        <w:autoSpaceDE w:val="false"/>
        <w:spacing w:lineRule="auto" w:line="240" w:before="0" w:after="0"/>
        <w:ind w:left="990" w:hanging="630"/>
        <w:jc w:val="both"/>
        <w:rPr>
          <w:rFonts w:ascii="Times New Roman" w:hAnsi="Times New Roman" w:eastAsia="Arial-BoldMT;MS Mincho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Официальные соревнования проводятся в личном и командном зачёте.</w:t>
      </w:r>
    </w:p>
    <w:p>
      <w:pPr>
        <w:pStyle w:val="Normal"/>
        <w:numPr>
          <w:ilvl w:val="1"/>
          <w:numId w:val="6"/>
        </w:numPr>
        <w:autoSpaceDE w:val="false"/>
        <w:spacing w:lineRule="auto" w:line="240" w:before="0" w:after="0"/>
        <w:ind w:left="990" w:hanging="630"/>
        <w:jc w:val="both"/>
        <w:rPr>
          <w:rFonts w:ascii="Times New Roman" w:hAnsi="Times New Roman" w:eastAsia="Arial-BoldMT;MS Mincho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Официальное соревнование будет считаться состоявшимся в том случае, если фактически будет организовано и проведено более половины заявленных этапов.</w:t>
      </w:r>
    </w:p>
    <w:p>
      <w:pPr>
        <w:pStyle w:val="Normal"/>
        <w:numPr>
          <w:ilvl w:val="1"/>
          <w:numId w:val="6"/>
        </w:numPr>
        <w:tabs>
          <w:tab w:val="clear" w:pos="708"/>
          <w:tab w:val="left" w:pos="990" w:leader="none"/>
        </w:tabs>
        <w:autoSpaceDE w:val="false"/>
        <w:spacing w:lineRule="auto" w:line="240" w:before="0" w:after="0"/>
        <w:ind w:left="990" w:hanging="630"/>
        <w:jc w:val="both"/>
        <w:rPr/>
      </w:pPr>
      <w:r>
        <w:rPr>
          <w:rFonts w:eastAsia="Arial-BoldMT;MS Mincho" w:cs="Times New Roman" w:ascii="Times New Roman" w:hAnsi="Times New Roman"/>
          <w:bCs/>
          <w:sz w:val="24"/>
          <w:szCs w:val="24"/>
        </w:rPr>
        <w:t>Под принявшим участие в Этапе, понимается Пилот, проехавший хотя бы один круг в любой из тренировок. Принявшим участие в многоэтапном соревновании считается Пилот, принявший участие хотя бы в одном из Этапов.</w:t>
      </w:r>
    </w:p>
    <w:p>
      <w:pPr>
        <w:pStyle w:val="Normal"/>
        <w:numPr>
          <w:ilvl w:val="1"/>
          <w:numId w:val="6"/>
        </w:numPr>
        <w:tabs>
          <w:tab w:val="clear" w:pos="708"/>
          <w:tab w:val="left" w:pos="990" w:leader="none"/>
        </w:tabs>
        <w:autoSpaceDE w:val="false"/>
        <w:spacing w:lineRule="auto" w:line="240" w:before="0" w:after="0"/>
        <w:ind w:left="990" w:hanging="630"/>
        <w:jc w:val="both"/>
        <w:rPr>
          <w:rFonts w:ascii="Times New Roman" w:hAnsi="Times New Roman" w:eastAsia="Arial-BoldMT;MS Mincho" w:cs="Times New Roman"/>
          <w:bCs/>
          <w:sz w:val="24"/>
          <w:szCs w:val="24"/>
        </w:rPr>
      </w:pPr>
      <w:r>
        <w:rPr>
          <w:rFonts w:eastAsia="Arial-BoldMT;MS Mincho" w:cs="Times New Roman" w:ascii="Times New Roman" w:hAnsi="Times New Roman"/>
          <w:bCs/>
          <w:sz w:val="24"/>
          <w:szCs w:val="24"/>
        </w:rPr>
        <w:t>Каждый Этап соревнования для каждой из зачетных групп состоит из 2-х гонок на дистанцию не менее 35 км каждая.</w:t>
      </w:r>
    </w:p>
    <w:p>
      <w:pPr>
        <w:pStyle w:val="Normal"/>
        <w:numPr>
          <w:ilvl w:val="1"/>
          <w:numId w:val="6"/>
        </w:numPr>
        <w:tabs>
          <w:tab w:val="clear" w:pos="708"/>
          <w:tab w:val="left" w:pos="990" w:leader="none"/>
        </w:tabs>
        <w:autoSpaceDE w:val="false"/>
        <w:spacing w:lineRule="auto" w:line="240" w:before="0" w:after="0"/>
        <w:ind w:left="990" w:hanging="630"/>
        <w:jc w:val="both"/>
        <w:rPr>
          <w:rFonts w:ascii="Times New Roman" w:hAnsi="Times New Roman" w:eastAsia="Arial-BoldMT;MS Mincho" w:cs="Times New Roman"/>
          <w:bCs/>
          <w:sz w:val="24"/>
          <w:szCs w:val="24"/>
        </w:rPr>
      </w:pPr>
      <w:r>
        <w:rPr>
          <w:rFonts w:eastAsia="Arial-BoldMT;MS Mincho" w:cs="Times New Roman" w:ascii="Times New Roman" w:hAnsi="Times New Roman"/>
          <w:bCs/>
          <w:sz w:val="24"/>
          <w:szCs w:val="24"/>
        </w:rPr>
        <w:t>КСК может принять решение о совместном проведении заездов в зачётных группах, в которых автомобили обладают близкими скоростными характеристиками.</w:t>
      </w:r>
    </w:p>
    <w:p>
      <w:pPr>
        <w:pStyle w:val="Normal"/>
        <w:numPr>
          <w:ilvl w:val="1"/>
          <w:numId w:val="6"/>
        </w:numPr>
        <w:tabs>
          <w:tab w:val="clear" w:pos="708"/>
          <w:tab w:val="left" w:pos="990" w:leader="none"/>
        </w:tabs>
        <w:autoSpaceDE w:val="false"/>
        <w:spacing w:lineRule="auto" w:line="240" w:before="0" w:after="0"/>
        <w:ind w:left="990" w:hanging="630"/>
        <w:jc w:val="both"/>
        <w:rPr>
          <w:rFonts w:ascii="Times New Roman" w:hAnsi="Times New Roman" w:eastAsia="Arial-BoldMT;MS Mincho" w:cs="Times New Roman"/>
          <w:bCs/>
          <w:sz w:val="24"/>
          <w:szCs w:val="24"/>
        </w:rPr>
      </w:pPr>
      <w:r>
        <w:rPr>
          <w:rFonts w:eastAsia="Arial-BoldMT;MS Mincho" w:cs="Times New Roman" w:ascii="Times New Roman" w:hAnsi="Times New Roman"/>
          <w:bCs/>
          <w:sz w:val="24"/>
          <w:szCs w:val="24"/>
        </w:rPr>
        <w:t>Проведение тренировок, квалификации, разминки и гонок осуществляется в соответствии с Правилами.</w:t>
      </w:r>
    </w:p>
    <w:p>
      <w:pPr>
        <w:pStyle w:val="Normal"/>
        <w:numPr>
          <w:ilvl w:val="1"/>
          <w:numId w:val="6"/>
        </w:numPr>
        <w:tabs>
          <w:tab w:val="clear" w:pos="708"/>
          <w:tab w:val="left" w:pos="990" w:leader="none"/>
        </w:tabs>
        <w:autoSpaceDE w:val="false"/>
        <w:spacing w:lineRule="auto" w:line="240" w:before="0" w:after="0"/>
        <w:ind w:left="990" w:hanging="630"/>
        <w:jc w:val="both"/>
        <w:rPr>
          <w:rFonts w:ascii="Times New Roman" w:hAnsi="Times New Roman" w:eastAsia="Arial-BoldMT;MS Mincho" w:cs="Times New Roman"/>
          <w:bCs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Состав команды на этапах официальных соревнований не более 2 спортсменов в одной зачётной группе, заявленных одним Заявителем. Заявка команды подаётся в каждый из зачётов официального соревнования и сопровождается разовым на всё многоэтапное соревнование заявочным взносом. Соревнование, считается классифицируемым в командном зачёте, при условии регистрации не менее 3 (трёх) команд.</w:t>
      </w:r>
    </w:p>
    <w:p>
      <w:pPr>
        <w:pStyle w:val="Normal"/>
        <w:numPr>
          <w:ilvl w:val="1"/>
          <w:numId w:val="6"/>
        </w:numPr>
        <w:tabs>
          <w:tab w:val="clear" w:pos="708"/>
          <w:tab w:val="left" w:pos="990" w:leader="none"/>
        </w:tabs>
        <w:autoSpaceDE w:val="false"/>
        <w:spacing w:lineRule="auto" w:line="240" w:before="0" w:after="0"/>
        <w:ind w:left="990" w:hanging="630"/>
        <w:jc w:val="both"/>
        <w:rPr/>
      </w:pPr>
      <w:r>
        <w:rPr>
          <w:rFonts w:eastAsia="Arial-BoldMT;MS Mincho" w:cs="Times New Roman" w:ascii="Times New Roman" w:hAnsi="Times New Roman"/>
          <w:b/>
          <w:bCs/>
          <w:sz w:val="24"/>
          <w:szCs w:val="24"/>
        </w:rPr>
        <w:t>Тренировка:</w:t>
      </w:r>
      <w:r>
        <w:rPr>
          <w:rFonts w:eastAsia="Arial-BoldMT;MS Mincho" w:cs="Times New Roman" w:ascii="Times New Roman" w:hAnsi="Times New Roman"/>
          <w:bCs/>
          <w:sz w:val="24"/>
          <w:szCs w:val="24"/>
        </w:rPr>
        <w:t xml:space="preserve"> во всех зачетных группах проводится как минимум одна тренировка продолжительностью не менее 20 минут.</w:t>
      </w:r>
    </w:p>
    <w:p>
      <w:pPr>
        <w:pStyle w:val="Normal"/>
        <w:numPr>
          <w:ilvl w:val="1"/>
          <w:numId w:val="6"/>
        </w:numPr>
        <w:tabs>
          <w:tab w:val="clear" w:pos="708"/>
          <w:tab w:val="left" w:pos="990" w:leader="none"/>
        </w:tabs>
        <w:autoSpaceDE w:val="false"/>
        <w:spacing w:lineRule="auto" w:line="240" w:before="0" w:after="0"/>
        <w:ind w:left="990" w:hanging="630"/>
        <w:jc w:val="both"/>
        <w:rPr>
          <w:rFonts w:ascii="Times New Roman" w:hAnsi="Times New Roman" w:eastAsia="Arial-BoldMT;MS Mincho" w:cs="Times New Roman"/>
          <w:b/>
          <w:b/>
          <w:bCs/>
          <w:sz w:val="24"/>
          <w:szCs w:val="24"/>
        </w:rPr>
      </w:pPr>
      <w:r>
        <w:rPr>
          <w:rFonts w:eastAsia="Arial-BoldMT;MS Mincho" w:cs="Times New Roman" w:ascii="Times New Roman" w:hAnsi="Times New Roman"/>
          <w:b/>
          <w:bCs/>
          <w:sz w:val="24"/>
          <w:szCs w:val="24"/>
        </w:rPr>
        <w:t>Квалификация:</w:t>
      </w:r>
    </w:p>
    <w:p>
      <w:pPr>
        <w:pStyle w:val="Normal"/>
        <w:numPr>
          <w:ilvl w:val="2"/>
          <w:numId w:val="6"/>
        </w:numPr>
        <w:tabs>
          <w:tab w:val="clear" w:pos="708"/>
          <w:tab w:val="left" w:pos="1760" w:leader="none"/>
        </w:tabs>
        <w:autoSpaceDE w:val="false"/>
        <w:spacing w:lineRule="auto" w:line="240" w:before="0" w:after="0"/>
        <w:ind w:left="1760" w:hanging="770"/>
        <w:jc w:val="both"/>
        <w:rPr>
          <w:rFonts w:ascii="Times New Roman" w:hAnsi="Times New Roman" w:eastAsia="Arial-BoldMT;MS Mincho" w:cs="Times New Roman"/>
          <w:bCs/>
          <w:sz w:val="24"/>
          <w:szCs w:val="24"/>
        </w:rPr>
      </w:pPr>
      <w:r>
        <w:rPr>
          <w:rFonts w:eastAsia="Arial-BoldMT;MS Mincho" w:cs="Times New Roman" w:ascii="Times New Roman" w:hAnsi="Times New Roman"/>
          <w:bCs/>
          <w:sz w:val="24"/>
          <w:szCs w:val="24"/>
        </w:rPr>
        <w:t>Во время квалификации работа с автомобилями, участвующими в ней, разрешается только в рабочей зоне пит-лейн перед боксами.</w:t>
      </w:r>
    </w:p>
    <w:p>
      <w:pPr>
        <w:pStyle w:val="Normal"/>
        <w:numPr>
          <w:ilvl w:val="2"/>
          <w:numId w:val="6"/>
        </w:numPr>
        <w:tabs>
          <w:tab w:val="clear" w:pos="708"/>
          <w:tab w:val="left" w:pos="1760" w:leader="none"/>
        </w:tabs>
        <w:autoSpaceDE w:val="false"/>
        <w:spacing w:lineRule="auto" w:line="240" w:before="0" w:after="0"/>
        <w:ind w:left="1760" w:hanging="770"/>
        <w:jc w:val="both"/>
        <w:rPr>
          <w:rFonts w:ascii="Times New Roman" w:hAnsi="Times New Roman" w:eastAsia="Arial-BoldMT;MS Mincho" w:cs="Times New Roman"/>
          <w:bCs/>
          <w:sz w:val="24"/>
          <w:szCs w:val="24"/>
        </w:rPr>
      </w:pPr>
      <w:r>
        <w:rPr>
          <w:rFonts w:eastAsia="Arial-BoldMT;MS Mincho" w:cs="Times New Roman" w:ascii="Times New Roman" w:hAnsi="Times New Roman"/>
          <w:bCs/>
          <w:sz w:val="24"/>
          <w:szCs w:val="24"/>
        </w:rPr>
        <w:t>Во всех зачетных группах проводится одна квалификация длительностью 20 минут.</w:t>
      </w:r>
    </w:p>
    <w:p>
      <w:pPr>
        <w:pStyle w:val="Normal"/>
        <w:numPr>
          <w:ilvl w:val="2"/>
          <w:numId w:val="6"/>
        </w:numPr>
        <w:tabs>
          <w:tab w:val="clear" w:pos="708"/>
          <w:tab w:val="left" w:pos="1760" w:leader="none"/>
        </w:tabs>
        <w:autoSpaceDE w:val="false"/>
        <w:spacing w:lineRule="auto" w:line="240" w:before="0" w:after="0"/>
        <w:ind w:left="1760" w:hanging="770"/>
        <w:jc w:val="both"/>
        <w:rPr>
          <w:rFonts w:ascii="Times New Roman" w:hAnsi="Times New Roman" w:eastAsia="Arial-BoldMT;MS Mincho" w:cs="Times New Roman"/>
          <w:bCs/>
          <w:sz w:val="24"/>
          <w:szCs w:val="24"/>
        </w:rPr>
      </w:pPr>
      <w:r>
        <w:rPr>
          <w:rFonts w:eastAsia="Arial-BoldMT;MS Mincho" w:cs="Times New Roman" w:ascii="Times New Roman" w:hAnsi="Times New Roman"/>
          <w:bCs/>
          <w:sz w:val="24"/>
          <w:szCs w:val="24"/>
        </w:rPr>
        <w:t>Если несколько Пилотов показали одинаковое время, преимущество имеет Пилот, показавший это время первым.</w:t>
      </w:r>
    </w:p>
    <w:p>
      <w:pPr>
        <w:pStyle w:val="Normal"/>
        <w:numPr>
          <w:ilvl w:val="2"/>
          <w:numId w:val="6"/>
        </w:numPr>
        <w:tabs>
          <w:tab w:val="clear" w:pos="708"/>
          <w:tab w:val="left" w:pos="1760" w:leader="none"/>
        </w:tabs>
        <w:autoSpaceDE w:val="false"/>
        <w:spacing w:lineRule="auto" w:line="240" w:before="0" w:after="0"/>
        <w:ind w:left="1760" w:hanging="770"/>
        <w:jc w:val="both"/>
        <w:rPr>
          <w:rFonts w:ascii="Times New Roman" w:hAnsi="Times New Roman" w:eastAsia="Arial-BoldMT;MS Mincho" w:cs="Times New Roman"/>
          <w:bCs/>
          <w:sz w:val="24"/>
          <w:szCs w:val="24"/>
        </w:rPr>
      </w:pPr>
      <w:r>
        <w:rPr>
          <w:rFonts w:eastAsia="Arial-BoldMT;MS Mincho" w:cs="Times New Roman" w:ascii="Times New Roman" w:hAnsi="Times New Roman"/>
          <w:bCs/>
          <w:sz w:val="24"/>
          <w:szCs w:val="24"/>
        </w:rPr>
        <w:t>После окончания квалификации все Пилоты должны направить свои автомобили в зону ТИ.</w:t>
      </w:r>
    </w:p>
    <w:p>
      <w:pPr>
        <w:pStyle w:val="Normal"/>
        <w:numPr>
          <w:ilvl w:val="2"/>
          <w:numId w:val="6"/>
        </w:numPr>
        <w:tabs>
          <w:tab w:val="clear" w:pos="708"/>
          <w:tab w:val="left" w:pos="1760" w:leader="none"/>
        </w:tabs>
        <w:autoSpaceDE w:val="false"/>
        <w:spacing w:lineRule="auto" w:line="240" w:before="0" w:after="0"/>
        <w:ind w:left="1760" w:hanging="770"/>
        <w:jc w:val="both"/>
        <w:rPr>
          <w:rFonts w:ascii="Times New Roman" w:hAnsi="Times New Roman" w:eastAsia="Arial-BoldMT;MS Mincho" w:cs="Times New Roman"/>
          <w:bCs/>
          <w:sz w:val="24"/>
          <w:szCs w:val="24"/>
        </w:rPr>
      </w:pPr>
      <w:r>
        <w:rPr>
          <w:rFonts w:eastAsia="Arial-BoldMT;MS Mincho" w:cs="Times New Roman" w:ascii="Times New Roman" w:hAnsi="Times New Roman"/>
          <w:bCs/>
          <w:sz w:val="24"/>
          <w:szCs w:val="24"/>
        </w:rPr>
        <w:t>Во всех зачетных группах проводится одна квалификация продолжительностью 20 минут. В случае досрочной остановки квалификации по каким-либо причинам, время заезда будет увеличено на время остановки.</w:t>
      </w:r>
    </w:p>
    <w:p>
      <w:pPr>
        <w:pStyle w:val="Normal"/>
        <w:autoSpaceDE w:val="false"/>
        <w:spacing w:lineRule="auto" w:line="240" w:before="0" w:after="0"/>
        <w:ind w:left="1760" w:hanging="0"/>
        <w:jc w:val="both"/>
        <w:rPr>
          <w:rFonts w:ascii="Times New Roman" w:hAnsi="Times New Roman" w:eastAsia="Arial-BoldMT;MS Mincho" w:cs="Times New Roman"/>
          <w:bCs/>
          <w:sz w:val="24"/>
          <w:szCs w:val="24"/>
        </w:rPr>
      </w:pPr>
      <w:r>
        <w:rPr>
          <w:rFonts w:eastAsia="Arial-BoldMT;MS Mincho" w:cs="Times New Roman" w:ascii="Times New Roman" w:hAnsi="Times New Roman"/>
          <w:bCs/>
          <w:sz w:val="24"/>
          <w:szCs w:val="24"/>
        </w:rPr>
      </w:r>
    </w:p>
    <w:p>
      <w:pPr>
        <w:pStyle w:val="Normal"/>
        <w:autoSpaceDE w:val="false"/>
        <w:spacing w:lineRule="auto" w:line="240" w:before="0" w:after="0"/>
        <w:ind w:left="1760" w:hanging="0"/>
        <w:jc w:val="both"/>
        <w:rPr>
          <w:rFonts w:ascii="Times New Roman" w:hAnsi="Times New Roman" w:eastAsia="Arial-BoldMT;MS Mincho" w:cs="Times New Roman"/>
          <w:bCs/>
          <w:sz w:val="24"/>
          <w:szCs w:val="24"/>
        </w:rPr>
      </w:pPr>
      <w:r>
        <w:rPr>
          <w:rFonts w:eastAsia="Arial-BoldMT;MS Mincho" w:cs="Times New Roman" w:ascii="Times New Roman" w:hAnsi="Times New Roman"/>
          <w:bCs/>
          <w:sz w:val="24"/>
          <w:szCs w:val="24"/>
        </w:rPr>
      </w:r>
    </w:p>
    <w:p>
      <w:pPr>
        <w:pStyle w:val="Normal"/>
        <w:autoSpaceDE w:val="false"/>
        <w:spacing w:lineRule="auto" w:line="240" w:before="0" w:after="0"/>
        <w:ind w:left="1760" w:hanging="0"/>
        <w:jc w:val="both"/>
        <w:rPr>
          <w:rFonts w:ascii="Times New Roman" w:hAnsi="Times New Roman" w:eastAsia="Arial-BoldMT;MS Mincho" w:cs="Times New Roman"/>
          <w:bCs/>
          <w:sz w:val="24"/>
          <w:szCs w:val="24"/>
        </w:rPr>
      </w:pPr>
      <w:r>
        <w:rPr>
          <w:rFonts w:eastAsia="Arial-BoldMT;MS Mincho" w:cs="Times New Roman" w:ascii="Times New Roman" w:hAnsi="Times New Roman"/>
          <w:bCs/>
          <w:sz w:val="24"/>
          <w:szCs w:val="24"/>
        </w:rPr>
      </w:r>
    </w:p>
    <w:p>
      <w:pPr>
        <w:pStyle w:val="Normal"/>
        <w:numPr>
          <w:ilvl w:val="1"/>
          <w:numId w:val="6"/>
        </w:numPr>
        <w:tabs>
          <w:tab w:val="clear" w:pos="708"/>
          <w:tab w:val="left" w:pos="990" w:leader="none"/>
        </w:tabs>
        <w:autoSpaceDE w:val="false"/>
        <w:spacing w:lineRule="auto" w:line="240" w:before="0" w:after="0"/>
        <w:ind w:left="990" w:hanging="630"/>
        <w:jc w:val="both"/>
        <w:rPr>
          <w:rFonts w:ascii="Times New Roman" w:hAnsi="Times New Roman" w:eastAsia="Arial-BoldMT;MS Mincho" w:cs="Times New Roman"/>
          <w:b/>
          <w:b/>
          <w:bCs/>
          <w:sz w:val="24"/>
          <w:szCs w:val="24"/>
        </w:rPr>
      </w:pPr>
      <w:r>
        <w:rPr>
          <w:rFonts w:eastAsia="Arial-BoldMT;MS Mincho" w:cs="Times New Roman" w:ascii="Times New Roman" w:hAnsi="Times New Roman"/>
          <w:b/>
          <w:bCs/>
          <w:sz w:val="24"/>
          <w:szCs w:val="24"/>
        </w:rPr>
        <w:t>Стартовая решетка:</w:t>
      </w:r>
    </w:p>
    <w:p>
      <w:pPr>
        <w:pStyle w:val="Normal"/>
        <w:autoSpaceDE w:val="false"/>
        <w:spacing w:lineRule="auto" w:line="240" w:before="0" w:after="0"/>
        <w:ind w:left="990" w:hanging="0"/>
        <w:jc w:val="both"/>
        <w:rPr/>
      </w:pPr>
      <w:r>
        <w:rPr>
          <w:rFonts w:eastAsia="Arial-BoldMT;MS Mincho" w:cs="Times New Roman" w:ascii="Times New Roman" w:hAnsi="Times New Roman"/>
          <w:bCs/>
          <w:sz w:val="24"/>
          <w:szCs w:val="24"/>
        </w:rPr>
        <w:t>Во всех зачетных группах расстановка на стартовой решетке первой гонки – по лучшему времени в квалификации. Расстановка на стартовой решетке второй гонки – по результатам классификации в первой гонке. Пилоты, не стартовавшие в квалификации – после стартовавших в ней. Пилоты, не стартовавшие в первой гонке, занимают места после стартовавших в ней в соответствии с результатами квалификации .</w:t>
      </w:r>
    </w:p>
    <w:p>
      <w:pPr>
        <w:pStyle w:val="Normal"/>
        <w:numPr>
          <w:ilvl w:val="1"/>
          <w:numId w:val="6"/>
        </w:numPr>
        <w:tabs>
          <w:tab w:val="clear" w:pos="708"/>
          <w:tab w:val="left" w:pos="990" w:leader="none"/>
        </w:tabs>
        <w:autoSpaceDE w:val="false"/>
        <w:spacing w:lineRule="auto" w:line="240" w:before="0" w:after="0"/>
        <w:ind w:left="990" w:hanging="630"/>
        <w:jc w:val="both"/>
        <w:rPr>
          <w:rFonts w:ascii="Times New Roman" w:hAnsi="Times New Roman" w:eastAsia="Arial-BoldMT;MS Mincho" w:cs="Times New Roman"/>
          <w:bCs/>
          <w:sz w:val="24"/>
          <w:szCs w:val="24"/>
        </w:rPr>
      </w:pPr>
      <w:r>
        <w:rPr>
          <w:rFonts w:eastAsia="Arial-BoldMT;MS Mincho" w:cs="Times New Roman" w:ascii="Times New Roman" w:hAnsi="Times New Roman"/>
          <w:bCs/>
          <w:sz w:val="24"/>
          <w:szCs w:val="24"/>
        </w:rPr>
        <w:t>Порядок проведения гонок и стартовая процедура определяются Правилами. Старт первой гонки во всех зачетных группах – с хода, старт второй – с места.</w:t>
      </w:r>
    </w:p>
    <w:p>
      <w:pPr>
        <w:pStyle w:val="Normal"/>
        <w:numPr>
          <w:ilvl w:val="1"/>
          <w:numId w:val="6"/>
        </w:numPr>
        <w:tabs>
          <w:tab w:val="clear" w:pos="708"/>
          <w:tab w:val="left" w:pos="990" w:leader="none"/>
        </w:tabs>
        <w:autoSpaceDE w:val="false"/>
        <w:spacing w:lineRule="auto" w:line="240" w:before="0" w:after="0"/>
        <w:ind w:left="990" w:hanging="630"/>
        <w:jc w:val="both"/>
        <w:rPr>
          <w:rFonts w:ascii="Times New Roman" w:hAnsi="Times New Roman" w:eastAsia="Arial-BoldMT;MS Mincho" w:cs="Times New Roman"/>
          <w:bCs/>
          <w:sz w:val="24"/>
          <w:szCs w:val="24"/>
        </w:rPr>
      </w:pPr>
      <w:r>
        <w:rPr>
          <w:rFonts w:eastAsia="Arial-BoldMT;MS Mincho" w:cs="Times New Roman" w:ascii="Times New Roman" w:hAnsi="Times New Roman"/>
          <w:bCs/>
          <w:sz w:val="24"/>
          <w:szCs w:val="24"/>
        </w:rPr>
        <w:t>В заездах Водители классифицируются в порядке пересечения линии финиша с учётом количества пройденных ими кругов; принимается во внимание только количество полных кругов.</w:t>
      </w:r>
      <w:r>
        <w:rPr/>
        <w:t xml:space="preserve"> </w:t>
      </w:r>
      <w:r>
        <w:rPr>
          <w:rFonts w:cs="Times New Roman" w:ascii="Times New Roman" w:hAnsi="Times New Roman"/>
          <w:sz w:val="24"/>
          <w:szCs w:val="24"/>
        </w:rPr>
        <w:t>Классифицируются только те водители, которые прошли, как минимум 75% дистанции победителя заезда. При расчёте количества кругов зачётной дистанции неполный круг округляется в меньшую сторону.</w:t>
      </w:r>
    </w:p>
    <w:p>
      <w:pPr>
        <w:pStyle w:val="Normal"/>
        <w:numPr>
          <w:ilvl w:val="1"/>
          <w:numId w:val="6"/>
        </w:numPr>
        <w:tabs>
          <w:tab w:val="clear" w:pos="708"/>
          <w:tab w:val="left" w:pos="990" w:leader="none"/>
        </w:tabs>
        <w:autoSpaceDE w:val="false"/>
        <w:spacing w:lineRule="auto" w:line="240" w:before="0" w:after="0"/>
        <w:ind w:left="990" w:hanging="630"/>
        <w:jc w:val="both"/>
        <w:rPr>
          <w:rFonts w:ascii="Times New Roman" w:hAnsi="Times New Roman" w:eastAsia="Arial-BoldMT;MS Mincho" w:cs="Times New Roman"/>
          <w:bCs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При определении победителей и призёров Чемпионата, за каждую гонку каждого Этапа Водителям начисляются очки в зачёт Официального соревнования по «Таблице №1», исходя из занятого места. За лучшее время в квалификации в своей зачётной группе Водителю, принявшему старт в гонке, начисляется 1 дополнительное очко. За лучшее время круга в каждой из гонок Этапа в своей зачётной группе Водителю начисляется 1 дополнительное очко. Дополнительное очко за лучшее время круга начисляется только классифицированному в гонке водителю. </w:t>
      </w:r>
      <w:r>
        <w:rPr>
          <w:rFonts w:eastAsia="Arial-BoldMT;MS Mincho" w:cs="Times New Roman" w:ascii="Times New Roman" w:hAnsi="Times New Roman"/>
          <w:bCs/>
          <w:sz w:val="24"/>
          <w:szCs w:val="24"/>
        </w:rPr>
        <w:t>Победитель этапа определяется по сумме очков во всех проведённых гонках этапа. При равенстве очков – по лучшему месту в последней гонке этапа.</w:t>
      </w:r>
    </w:p>
    <w:p>
      <w:pPr>
        <w:pStyle w:val="Normal"/>
        <w:ind w:left="720" w:right="-2" w:hang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Таблица №1</w:t>
      </w:r>
    </w:p>
    <w:tbl>
      <w:tblPr>
        <w:tblW w:w="10563" w:type="dxa"/>
        <w:jc w:val="left"/>
        <w:tblInd w:w="-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49"/>
        <w:gridCol w:w="674"/>
        <w:gridCol w:w="763"/>
        <w:gridCol w:w="686"/>
        <w:gridCol w:w="846"/>
        <w:gridCol w:w="846"/>
        <w:gridCol w:w="786"/>
        <w:gridCol w:w="786"/>
        <w:gridCol w:w="786"/>
        <w:gridCol w:w="720"/>
        <w:gridCol w:w="763"/>
        <w:gridCol w:w="1158"/>
      </w:tblGrid>
      <w:tr>
        <w:trPr/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ind w:right="-2" w:hang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Занятое место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ind w:right="-2" w:hang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ind w:right="-2" w:hang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ind w:right="-2" w:hang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ind w:right="-2" w:hang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ind w:right="-2" w:hang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ind w:right="-2" w:hang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ind w:right="-2" w:hang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ind w:right="-2" w:hang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ind w:right="-2" w:hang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ind w:right="-2" w:hang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ind w:right="-2" w:hang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11 и далее</w:t>
            </w:r>
          </w:p>
        </w:tc>
      </w:tr>
      <w:tr>
        <w:trPr/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ind w:right="-2" w:hang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Количество очков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ind w:right="-2" w:hang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ind w:right="-2" w:hang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ind w:right="-2" w:hang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ind w:right="-2" w:hang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ind w:right="-2" w:hang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ind w:right="-2" w:hang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ind w:right="-2" w:hang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ind w:right="-2" w:hang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ind w:right="-2" w:hang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ind w:right="-2" w:hang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ind w:right="-2" w:hang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</w:t>
            </w:r>
          </w:p>
        </w:tc>
      </w:tr>
    </w:tbl>
    <w:p>
      <w:pPr>
        <w:pStyle w:val="Normal"/>
        <w:numPr>
          <w:ilvl w:val="1"/>
          <w:numId w:val="6"/>
        </w:numPr>
        <w:autoSpaceDE w:val="false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Начисление очков в командном зачёте производится по сумме очков, набранных спортсменами, заявленными Командой на этапах.</w:t>
      </w:r>
    </w:p>
    <w:p>
      <w:pPr>
        <w:pStyle w:val="Normal"/>
        <w:numPr>
          <w:ilvl w:val="1"/>
          <w:numId w:val="6"/>
        </w:numPr>
        <w:autoSpaceDE w:val="false"/>
        <w:spacing w:lineRule="auto" w:line="240" w:before="0" w:after="0"/>
        <w:jc w:val="both"/>
        <w:rPr>
          <w:rFonts w:ascii="Times New Roman" w:hAnsi="Times New Roman" w:eastAsia="Arial-BoldMT;MS Mincho" w:cs="Times New Roman"/>
          <w:bCs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При равенстве количества очков двух команд места в Официальном соревновании распределяются в соответствии с Правилами.</w:t>
      </w:r>
    </w:p>
    <w:p>
      <w:pPr>
        <w:pStyle w:val="Normal"/>
        <w:autoSpaceDE w:val="false"/>
        <w:spacing w:lineRule="auto" w:line="240" w:before="0" w:after="0"/>
        <w:rPr>
          <w:rFonts w:ascii="Times New Roman" w:hAnsi="Times New Roman" w:eastAsia="Arial-BoldMT;MS Mincho" w:cs="Times New Roman"/>
          <w:bCs/>
          <w:sz w:val="24"/>
          <w:szCs w:val="24"/>
        </w:rPr>
      </w:pPr>
      <w:r>
        <w:rPr>
          <w:rFonts w:eastAsia="Arial-BoldMT;MS Mincho" w:cs="Times New Roman" w:ascii="Times New Roman" w:hAnsi="Times New Roman"/>
          <w:bCs/>
          <w:sz w:val="24"/>
          <w:szCs w:val="24"/>
        </w:rPr>
        <w:t xml:space="preserve">Итоговые места в многоэтапном Соревновании личного и командного зачётов определяются по сумме набранных на 5 этапах очков за вычетом результата худшего этапа. </w:t>
      </w:r>
      <w:r>
        <w:rPr>
          <w:rFonts w:cs="Times New Roman" w:ascii="Times New Roman" w:hAnsi="Times New Roman"/>
          <w:sz w:val="24"/>
          <w:szCs w:val="24"/>
        </w:rPr>
        <w:t>Под худшим результатом этапа подразумевается также неучастие или сход Водителя/команды. В качестве худшего не может быть засчитан этап, на котором результат Водителя был аннулирован по любой причине. При равенстве результатов берется результат этапа, не вошедшего в зачет, при последующем равенстве – согласно лучшим результатам в отдельных этапах многоэтапного соревнования (по количеству побед, при новом равенстве согласно количеству вторых мест, далее третьих и т.д.), в случае дальнейшего равенства  – по результату в последней гонке.</w:t>
      </w:r>
    </w:p>
    <w:p>
      <w:pPr>
        <w:pStyle w:val="Normal"/>
        <w:autoSpaceDE w:val="false"/>
        <w:spacing w:lineRule="auto" w:line="240" w:before="0" w:after="0"/>
        <w:rPr>
          <w:rFonts w:ascii="Times New Roman" w:hAnsi="Times New Roman" w:eastAsia="Arial-BoldMT;MS Mincho" w:cs="Times New Roman"/>
          <w:bCs/>
          <w:sz w:val="24"/>
          <w:szCs w:val="24"/>
        </w:rPr>
      </w:pPr>
      <w:r>
        <w:rPr>
          <w:rFonts w:eastAsia="Arial-BoldMT;MS Mincho" w:cs="Times New Roman" w:ascii="Times New Roman" w:hAnsi="Times New Roman"/>
          <w:bCs/>
          <w:sz w:val="24"/>
          <w:szCs w:val="24"/>
        </w:rPr>
      </w:r>
    </w:p>
    <w:p>
      <w:pPr>
        <w:pStyle w:val="Normal"/>
        <w:autoSpaceDE w:val="false"/>
        <w:spacing w:lineRule="auto" w:line="240" w:before="0" w:after="0"/>
        <w:rPr>
          <w:rFonts w:ascii="Times New Roman" w:hAnsi="Times New Roman" w:eastAsia="Arial-BoldMT;MS Mincho" w:cs="Times New Roman"/>
          <w:bCs/>
          <w:sz w:val="24"/>
          <w:szCs w:val="24"/>
        </w:rPr>
      </w:pPr>
      <w:r>
        <w:rPr>
          <w:rFonts w:eastAsia="Arial-BoldMT;MS Mincho" w:cs="Times New Roman" w:ascii="Times New Roman" w:hAnsi="Times New Roman"/>
          <w:bCs/>
          <w:sz w:val="24"/>
          <w:szCs w:val="24"/>
        </w:rPr>
      </w:r>
    </w:p>
    <w:p>
      <w:pPr>
        <w:pStyle w:val="Normal"/>
        <w:autoSpaceDE w:val="false"/>
        <w:spacing w:lineRule="auto" w:line="240" w:before="0" w:after="0"/>
        <w:rPr>
          <w:rFonts w:ascii="Times New Roman" w:hAnsi="Times New Roman" w:eastAsia="Arial-BoldMT;MS Mincho" w:cs="Times New Roman"/>
          <w:bCs/>
          <w:sz w:val="24"/>
          <w:szCs w:val="24"/>
        </w:rPr>
      </w:pPr>
      <w:r>
        <w:rPr>
          <w:rFonts w:eastAsia="Arial-BoldMT;MS Mincho" w:cs="Times New Roman" w:ascii="Times New Roman" w:hAnsi="Times New Roman"/>
          <w:bCs/>
          <w:sz w:val="24"/>
          <w:szCs w:val="24"/>
        </w:rPr>
      </w:r>
    </w:p>
    <w:p>
      <w:pPr>
        <w:pStyle w:val="Normal"/>
        <w:autoSpaceDE w:val="false"/>
        <w:spacing w:lineRule="auto" w:line="240" w:before="0" w:after="0"/>
        <w:rPr>
          <w:rFonts w:ascii="Times New Roman" w:hAnsi="Times New Roman" w:eastAsia="Arial-BoldMT;MS Mincho" w:cs="Times New Roman"/>
          <w:bCs/>
          <w:sz w:val="24"/>
          <w:szCs w:val="24"/>
        </w:rPr>
      </w:pPr>
      <w:r>
        <w:rPr>
          <w:rFonts w:eastAsia="Arial-BoldMT;MS Mincho" w:cs="Times New Roman" w:ascii="Times New Roman" w:hAnsi="Times New Roman"/>
          <w:bCs/>
          <w:sz w:val="24"/>
          <w:szCs w:val="24"/>
        </w:rPr>
      </w:r>
    </w:p>
    <w:p>
      <w:pPr>
        <w:pStyle w:val="Normal"/>
        <w:autoSpaceDE w:val="false"/>
        <w:spacing w:lineRule="auto" w:line="240" w:before="0" w:after="0"/>
        <w:rPr>
          <w:rFonts w:ascii="Times New Roman" w:hAnsi="Times New Roman" w:eastAsia="Arial-BoldMT;MS Mincho" w:cs="Times New Roman"/>
          <w:bCs/>
          <w:sz w:val="24"/>
          <w:szCs w:val="24"/>
        </w:rPr>
      </w:pPr>
      <w:r>
        <w:rPr>
          <w:rFonts w:eastAsia="Arial-BoldMT;MS Mincho" w:cs="Times New Roman" w:ascii="Times New Roman" w:hAnsi="Times New Roman"/>
          <w:bCs/>
          <w:sz w:val="24"/>
          <w:szCs w:val="24"/>
        </w:rPr>
      </w:r>
    </w:p>
    <w:p>
      <w:pPr>
        <w:pStyle w:val="Normal"/>
        <w:autoSpaceDE w:val="false"/>
        <w:spacing w:lineRule="auto" w:line="240" w:before="0" w:after="0"/>
        <w:rPr>
          <w:rFonts w:ascii="Times New Roman" w:hAnsi="Times New Roman" w:eastAsia="Arial-BoldMT;MS Mincho" w:cs="Times New Roman"/>
          <w:bCs/>
          <w:sz w:val="24"/>
          <w:szCs w:val="24"/>
        </w:rPr>
      </w:pPr>
      <w:r>
        <w:rPr>
          <w:rFonts w:eastAsia="Arial-BoldMT;MS Mincho" w:cs="Times New Roman" w:ascii="Times New Roman" w:hAnsi="Times New Roman"/>
          <w:bCs/>
          <w:sz w:val="24"/>
          <w:szCs w:val="24"/>
        </w:rPr>
      </w:r>
    </w:p>
    <w:p>
      <w:pPr>
        <w:pStyle w:val="Normal"/>
        <w:spacing w:before="0" w:after="0"/>
        <w:ind w:firstLine="426"/>
        <w:jc w:val="center"/>
        <w:rPr>
          <w:rFonts w:ascii="Times New Roman" w:hAnsi="Times New Roman" w:eastAsia="Arial-BoldMT;MS Mincho" w:cs="Times New Roman"/>
          <w:bCs/>
          <w:sz w:val="28"/>
          <w:szCs w:val="28"/>
        </w:rPr>
      </w:pPr>
      <w:r>
        <w:rPr>
          <w:rFonts w:eastAsia="Arial-BoldMT;MS Mincho" w:cs="Times New Roman" w:ascii="Times New Roman" w:hAnsi="Times New Roman"/>
          <w:bCs/>
          <w:sz w:val="28"/>
          <w:szCs w:val="28"/>
        </w:rPr>
      </w:r>
    </w:p>
    <w:p>
      <w:pPr>
        <w:pStyle w:val="Normal"/>
        <w:spacing w:before="0" w:after="0"/>
        <w:ind w:firstLine="42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before="0" w:after="0"/>
        <w:ind w:firstLine="42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  <w:lang w:val="en-US"/>
        </w:rPr>
        <w:t>VIII</w:t>
      </w:r>
      <w:r>
        <w:rPr>
          <w:rFonts w:cs="Times New Roman" w:ascii="Times New Roman" w:hAnsi="Times New Roman"/>
          <w:sz w:val="28"/>
          <w:szCs w:val="28"/>
        </w:rPr>
        <w:t>. НАГРАЖДЕНИЕ ПОБЕДИТЕЛЕЙ И ПРИЗЕРОВ.</w:t>
      </w:r>
    </w:p>
    <w:p>
      <w:pPr>
        <w:pStyle w:val="Normal"/>
        <w:spacing w:before="0" w:after="0"/>
        <w:ind w:firstLine="426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8.1. Победители и призеры этапов награждаются кубками и дипломами.</w:t>
      </w:r>
    </w:p>
    <w:p>
      <w:pPr>
        <w:pStyle w:val="Normal"/>
        <w:spacing w:before="0" w:after="0"/>
        <w:ind w:firstLine="426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autoSpaceDE w:val="false"/>
        <w:spacing w:lineRule="auto" w:line="240" w:before="0" w:after="0"/>
        <w:ind w:left="426" w:hanging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8.2.Пилоту, в своей зачетной группе, набравшему по итогам  Чемпионата Нижегородской Области наибольшее число очков, присваивается звание «Чемпион Нижегородской Области 2021 года по кольцевым гонкам в (зачетная группа)». Водители, занявшие 2-е и 3-е места, именуются серебряный и бронзовый призёры Чемпионата.</w:t>
      </w:r>
    </w:p>
    <w:p>
      <w:pPr>
        <w:pStyle w:val="Normal"/>
        <w:autoSpaceDE w:val="false"/>
        <w:spacing w:lineRule="auto" w:line="240" w:before="0" w:after="0"/>
        <w:ind w:left="426" w:hanging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8.3. Команде, набравшей по итогам Чемпионата наибольшее число очков в своей зачётной группе, присваивается звание «Команда (официальное название команды) - Чемпион Нижегородской области 2021 года по кольцевым гонкам в (зачётная группа)».</w:t>
      </w:r>
    </w:p>
    <w:p>
      <w:pPr>
        <w:pStyle w:val="Normal"/>
        <w:autoSpaceDE w:val="false"/>
        <w:spacing w:lineRule="auto" w:line="240" w:before="0" w:after="0"/>
        <w:ind w:left="426" w:hanging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autoSpaceDE w:val="false"/>
        <w:spacing w:lineRule="auto" w:line="240"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  <w:lang w:val="en-US"/>
        </w:rPr>
        <w:t>IX</w:t>
      </w:r>
      <w:r>
        <w:rPr>
          <w:rFonts w:cs="Times New Roman" w:ascii="Times New Roman" w:hAnsi="Times New Roman"/>
          <w:sz w:val="28"/>
          <w:szCs w:val="28"/>
        </w:rPr>
        <w:t>. УСЛОВИЯ ФИНАНСИРОВАНИЯ.</w:t>
      </w:r>
    </w:p>
    <w:p>
      <w:pPr>
        <w:pStyle w:val="Normal"/>
        <w:autoSpaceDE w:val="false"/>
        <w:spacing w:lineRule="auto" w:line="240" w:before="0" w:after="0"/>
        <w:rPr>
          <w:rFonts w:ascii="Times New Roman" w:hAnsi="Times New Roman" w:eastAsia="Arial-BoldMT;MS Mincho" w:cs="Times New Roman"/>
          <w:bCs/>
          <w:sz w:val="24"/>
          <w:szCs w:val="24"/>
        </w:rPr>
      </w:pPr>
      <w:r>
        <w:rPr>
          <w:rFonts w:eastAsia="Arial-BoldMT;MS Mincho" w:cs="Times New Roman" w:ascii="Times New Roman" w:hAnsi="Times New Roman"/>
          <w:bCs/>
          <w:sz w:val="24"/>
          <w:szCs w:val="24"/>
        </w:rPr>
      </w:r>
    </w:p>
    <w:p>
      <w:pPr>
        <w:pStyle w:val="Normal"/>
        <w:autoSpaceDE w:val="false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АСК «Нижегородское кольцо» несёт расходы, связанные с организацией и проведением этапов  соревнования, награждением победителей и призеров.</w:t>
      </w:r>
    </w:p>
    <w:p>
      <w:pPr>
        <w:pStyle w:val="Style20"/>
        <w:spacing w:lineRule="auto" w:line="276" w:before="0" w:after="0"/>
        <w:ind w:left="0" w:hanging="0"/>
        <w:contextualSpacing/>
        <w:rPr/>
      </w:pPr>
      <w:r>
        <w:rPr>
          <w:rFonts w:cs="Times New Roman" w:ascii="Times New Roman" w:hAnsi="Times New Roman"/>
          <w:sz w:val="24"/>
          <w:szCs w:val="24"/>
        </w:rPr>
        <w:t>Размер и порядок оплаты стартовых взносов указан в частном регламенте этапа.</w:t>
      </w:r>
    </w:p>
    <w:p>
      <w:pPr>
        <w:pStyle w:val="Style20"/>
        <w:spacing w:lineRule="auto" w:line="276" w:before="0" w:after="0"/>
        <w:ind w:left="0" w:hanging="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Расходы по командированию (проезд, питание, размещение) участников и тренеров обеспечивают командирующие организации.</w:t>
      </w:r>
    </w:p>
    <w:p>
      <w:pPr>
        <w:pStyle w:val="Normal"/>
        <w:tabs>
          <w:tab w:val="clear" w:pos="708"/>
          <w:tab w:val="left" w:pos="851" w:leader="none"/>
        </w:tabs>
        <w:rPr>
          <w:rFonts w:ascii="Times New Roman" w:hAnsi="Times New Roman" w:eastAsia="Arial-BoldMT;MS Mincho" w:cs="Times New Roman"/>
          <w:bCs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Все средства от заявочных и стартовых взносов идут на организационные расходы по проведению соревнований.</w:t>
      </w:r>
    </w:p>
    <w:p>
      <w:pPr>
        <w:pStyle w:val="Normal"/>
        <w:autoSpaceDE w:val="false"/>
        <w:spacing w:lineRule="auto" w:line="240" w:before="0" w:after="0"/>
        <w:jc w:val="center"/>
        <w:rPr/>
      </w:pPr>
      <w:r>
        <w:rPr>
          <w:rFonts w:cs="Times New Roman" w:ascii="Times New Roman" w:hAnsi="Times New Roman"/>
          <w:sz w:val="28"/>
          <w:szCs w:val="28"/>
          <w:lang w:val="en-US"/>
        </w:rPr>
        <w:t>X</w:t>
      </w:r>
      <w:r>
        <w:rPr>
          <w:rFonts w:cs="Times New Roman" w:ascii="Times New Roman" w:hAnsi="Times New Roman"/>
          <w:sz w:val="28"/>
          <w:szCs w:val="28"/>
        </w:rPr>
        <w:t>. ДОПОЛНИТЕЛЬНЫЕУСЛОВИЯ .</w:t>
      </w:r>
    </w:p>
    <w:p>
      <w:pPr>
        <w:pStyle w:val="Normal"/>
        <w:autoSpaceDE w:val="false"/>
        <w:spacing w:lineRule="auto" w:line="240" w:before="0" w:after="0"/>
        <w:ind w:left="142" w:hanging="0"/>
        <w:jc w:val="center"/>
        <w:rPr>
          <w:rFonts w:ascii="Times New Roman" w:hAnsi="Times New Roman" w:eastAsia="Arial-BoldMT;MS Mincho" w:cs="Times New Roman"/>
          <w:bCs/>
          <w:sz w:val="24"/>
          <w:szCs w:val="24"/>
        </w:rPr>
      </w:pPr>
      <w:r>
        <w:rPr>
          <w:rFonts w:eastAsia="Arial-BoldMT;MS Mincho" w:cs="Times New Roman" w:ascii="Times New Roman" w:hAnsi="Times New Roman"/>
          <w:bCs/>
          <w:sz w:val="24"/>
          <w:szCs w:val="24"/>
        </w:rPr>
      </w:r>
    </w:p>
    <w:p>
      <w:pPr>
        <w:pStyle w:val="Normal"/>
        <w:tabs>
          <w:tab w:val="clear" w:pos="708"/>
          <w:tab w:val="left" w:pos="880" w:leader="none"/>
        </w:tabs>
        <w:autoSpaceDE w:val="false"/>
        <w:spacing w:lineRule="auto" w:line="240" w:before="0" w:after="0"/>
        <w:ind w:left="880" w:hang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.</w:t>
      </w:r>
      <w:r>
        <w:rPr>
          <w:rFonts w:cs="Times New Roman" w:ascii="Times New Roman" w:hAnsi="Times New Roman"/>
          <w:b/>
          <w:sz w:val="24"/>
          <w:szCs w:val="24"/>
        </w:rPr>
        <w:t>ПРОТЕСТЫ, АППЕЛЯЦИИ</w:t>
      </w:r>
    </w:p>
    <w:p>
      <w:pPr>
        <w:pStyle w:val="Normal"/>
        <w:autoSpaceDE w:val="false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numPr>
          <w:ilvl w:val="1"/>
          <w:numId w:val="8"/>
        </w:numPr>
        <w:tabs>
          <w:tab w:val="clear" w:pos="708"/>
          <w:tab w:val="left" w:pos="990" w:leader="none"/>
        </w:tabs>
        <w:autoSpaceDE w:val="false"/>
        <w:spacing w:lineRule="auto" w:line="240" w:before="0" w:after="0"/>
        <w:ind w:left="990" w:hanging="63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Каждый протест подается в соответствии с требованиями Главы 3 СК РАФ и сопровождается денежным взносом, (размер взноса указывается в частном регламенте этапа).</w:t>
      </w:r>
    </w:p>
    <w:p>
      <w:pPr>
        <w:pStyle w:val="Normal"/>
        <w:numPr>
          <w:ilvl w:val="1"/>
          <w:numId w:val="8"/>
        </w:numPr>
        <w:tabs>
          <w:tab w:val="clear" w:pos="708"/>
          <w:tab w:val="left" w:pos="990" w:leader="none"/>
        </w:tabs>
        <w:autoSpaceDE w:val="false"/>
        <w:spacing w:lineRule="auto" w:line="240" w:before="0" w:after="0"/>
        <w:ind w:left="990" w:hanging="630"/>
        <w:jc w:val="both"/>
        <w:rPr>
          <w:rFonts w:ascii="Times New Roman" w:hAnsi="Times New Roman" w:eastAsia="Arial-BoldMT;MS Mincho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Если протест предусматривает проверку соответствия техническим требованиям нескольких участвующих в данном соревновании автомобилей, то протест подается против каждого автомобиля и сумма денежного взноса, сопровождающего протест, умножается на количество «опротестованных» автомобилей. В случае, когда для рассмотрения протеста требуется осмотр или демонтаж частей автомобиля, протестующий должен внести в виде технического залога сумму, равную денежному взносу за подачу протеста, указанную в РЭ. Протест не может быть подан против автомобиля «в целом». Должны быть указаны конкретные параметры опротестованного автомобиля, подлежащие проверке по протесту. Отдельный протест должен подаваться на каждый подвергающийся протесту агрегат автомобиля.</w:t>
      </w:r>
    </w:p>
    <w:p>
      <w:pPr>
        <w:pStyle w:val="Normal"/>
        <w:numPr>
          <w:ilvl w:val="1"/>
          <w:numId w:val="8"/>
        </w:numPr>
        <w:tabs>
          <w:tab w:val="clear" w:pos="708"/>
          <w:tab w:val="left" w:pos="990" w:leader="none"/>
        </w:tabs>
        <w:autoSpaceDE w:val="false"/>
        <w:spacing w:lineRule="auto" w:line="240" w:before="0" w:after="0"/>
        <w:ind w:left="990" w:hanging="630"/>
        <w:jc w:val="both"/>
        <w:rPr>
          <w:rFonts w:ascii="Times New Roman" w:hAnsi="Times New Roman" w:eastAsia="Arial-BoldMT;MS Mincho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В случае своего несогласия с решением, принятым Коллегией Спортивных Комиссаров, Участник имеет право подать Апелляцию в РАФ. Порядок подачи Апелляции определяется Главой 3 СК РАФ.</w:t>
      </w:r>
    </w:p>
    <w:p>
      <w:pPr>
        <w:pStyle w:val="Normal"/>
        <w:autoSpaceDE w:val="false"/>
        <w:spacing w:lineRule="auto" w:line="240" w:before="0" w:after="0"/>
        <w:jc w:val="both"/>
        <w:rPr>
          <w:rFonts w:ascii="Times New Roman" w:hAnsi="Times New Roman" w:eastAsia="Arial-BoldMT;MS Mincho" w:cs="Times New Roman"/>
          <w:b/>
          <w:b/>
          <w:bCs/>
          <w:sz w:val="24"/>
          <w:szCs w:val="24"/>
        </w:rPr>
      </w:pPr>
      <w:r>
        <w:rPr>
          <w:rFonts w:eastAsia="Arial-BoldMT;MS Mincho"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numPr>
          <w:ilvl w:val="0"/>
          <w:numId w:val="8"/>
        </w:numPr>
        <w:autoSpaceDE w:val="false"/>
        <w:spacing w:lineRule="auto" w:line="240" w:before="0" w:after="0"/>
        <w:jc w:val="both"/>
        <w:rPr>
          <w:rFonts w:ascii="Times New Roman" w:hAnsi="Times New Roman" w:eastAsia="Arial-BoldMT;MS Mincho" w:cs="Times New Roman"/>
          <w:b/>
          <w:b/>
          <w:bCs/>
          <w:sz w:val="24"/>
          <w:szCs w:val="24"/>
        </w:rPr>
      </w:pPr>
      <w:r>
        <w:rPr>
          <w:rFonts w:eastAsia="Arial-BoldMT;MS Mincho" w:cs="Times New Roman" w:ascii="Times New Roman" w:hAnsi="Times New Roman"/>
          <w:b/>
          <w:bCs/>
          <w:sz w:val="24"/>
          <w:szCs w:val="24"/>
        </w:rPr>
        <w:t xml:space="preserve">АККРЕДИТАЦИЯ </w:t>
      </w:r>
      <w:r>
        <w:rPr>
          <w:rFonts w:cs="Times New Roman" w:ascii="Times New Roman" w:hAnsi="Times New Roman"/>
          <w:b/>
          <w:bCs/>
          <w:sz w:val="24"/>
          <w:szCs w:val="24"/>
        </w:rPr>
        <w:t>СРЕДСТВ МАССОВОЙ ИНФОРМАЦИИ</w:t>
      </w:r>
      <w:r>
        <w:rPr>
          <w:rFonts w:eastAsia="Arial-BoldMT;MS Mincho" w:cs="Times New Roman" w:ascii="Times New Roman" w:hAnsi="Times New Roman"/>
          <w:b/>
          <w:bCs/>
          <w:sz w:val="24"/>
          <w:szCs w:val="24"/>
        </w:rPr>
        <w:t>.</w:t>
      </w:r>
    </w:p>
    <w:p>
      <w:pPr>
        <w:pStyle w:val="Normal"/>
        <w:autoSpaceDE w:val="false"/>
        <w:spacing w:lineRule="auto" w:line="240" w:before="0" w:after="0"/>
        <w:jc w:val="both"/>
        <w:rPr>
          <w:rFonts w:ascii="Times New Roman" w:hAnsi="Times New Roman" w:eastAsia="Arial-BoldMT;MS Mincho" w:cs="Times New Roman"/>
          <w:b/>
          <w:b/>
          <w:bCs/>
          <w:sz w:val="24"/>
          <w:szCs w:val="24"/>
        </w:rPr>
      </w:pPr>
      <w:r>
        <w:rPr>
          <w:rFonts w:eastAsia="Arial-BoldMT;MS Mincho"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numPr>
          <w:ilvl w:val="1"/>
          <w:numId w:val="8"/>
        </w:numPr>
        <w:tabs>
          <w:tab w:val="clear" w:pos="708"/>
          <w:tab w:val="left" w:pos="990" w:leader="none"/>
        </w:tabs>
        <w:autoSpaceDE w:val="false"/>
        <w:spacing w:lineRule="auto" w:line="240" w:before="0" w:after="0"/>
        <w:ind w:left="990" w:hanging="63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Аккредитация средств массовой информации и их представителей на все этапы соревнования проводится Организатором.</w:t>
      </w:r>
    </w:p>
    <w:p>
      <w:pPr>
        <w:pStyle w:val="Normal"/>
        <w:numPr>
          <w:ilvl w:val="1"/>
          <w:numId w:val="8"/>
        </w:numPr>
        <w:tabs>
          <w:tab w:val="clear" w:pos="708"/>
          <w:tab w:val="left" w:pos="990" w:leader="none"/>
        </w:tabs>
        <w:autoSpaceDE w:val="false"/>
        <w:spacing w:lineRule="auto" w:line="240" w:before="0" w:after="0"/>
        <w:ind w:left="990" w:hanging="630"/>
        <w:jc w:val="both"/>
        <w:rPr>
          <w:rFonts w:ascii="Times New Roman" w:hAnsi="Times New Roman" w:eastAsia="Arial-BoldMT;MS Mincho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Представители средств массовой информации допускаются на Трассу только после прохождения инструктажа по технике безопасности.</w:t>
      </w:r>
    </w:p>
    <w:p>
      <w:pPr>
        <w:pStyle w:val="Normal"/>
        <w:autoSpaceDE w:val="false"/>
        <w:spacing w:lineRule="auto" w:line="240" w:before="0" w:after="0"/>
        <w:jc w:val="both"/>
        <w:rPr>
          <w:rFonts w:ascii="Times New Roman" w:hAnsi="Times New Roman" w:eastAsia="Arial-BoldMT;MS Mincho" w:cs="Times New Roman"/>
          <w:b/>
          <w:b/>
          <w:bCs/>
          <w:sz w:val="20"/>
          <w:szCs w:val="20"/>
        </w:rPr>
      </w:pPr>
      <w:r>
        <w:rPr>
          <w:rFonts w:eastAsia="Arial-BoldMT;MS Mincho" w:cs="Times New Roman" w:ascii="Times New Roman" w:hAnsi="Times New Roman"/>
          <w:b/>
          <w:bCs/>
          <w:sz w:val="20"/>
          <w:szCs w:val="20"/>
        </w:rPr>
      </w:r>
    </w:p>
    <w:p>
      <w:pPr>
        <w:pStyle w:val="Normal"/>
        <w:autoSpaceDE w:val="false"/>
        <w:spacing w:lineRule="auto" w:line="240" w:before="0" w:after="0"/>
        <w:jc w:val="right"/>
        <w:rPr>
          <w:rFonts w:ascii="Times New Roman" w:hAnsi="Times New Roman" w:cs="Times New Roman"/>
          <w:i/>
          <w:i/>
          <w:iCs/>
          <w:sz w:val="24"/>
          <w:szCs w:val="24"/>
        </w:rPr>
      </w:pPr>
      <w:r>
        <w:rPr>
          <w:rFonts w:cs="Times New Roman" w:ascii="Times New Roman" w:hAnsi="Times New Roman"/>
          <w:i/>
          <w:iCs/>
          <w:sz w:val="24"/>
          <w:szCs w:val="24"/>
        </w:rPr>
        <w:t>Организатор, 2021</w:t>
      </w:r>
      <w:r>
        <w:br w:type="page"/>
      </w:r>
    </w:p>
    <w:p>
      <w:pPr>
        <w:pStyle w:val="Default"/>
        <w:jc w:val="center"/>
        <w:rPr>
          <w:rFonts w:ascii="Times New Roman" w:hAnsi="Times New Roman" w:cs="Times New Roman"/>
          <w:b/>
          <w:b/>
          <w:bCs/>
          <w:sz w:val="20"/>
          <w:szCs w:val="20"/>
        </w:rPr>
      </w:pPr>
      <w:r>
        <w:rPr>
          <w:rFonts w:cs="Times New Roman" w:ascii="Times New Roman" w:hAnsi="Times New Roman"/>
          <w:b/>
          <w:bCs/>
          <w:sz w:val="20"/>
          <w:szCs w:val="20"/>
        </w:rPr>
        <w:t>ПРИЛОЖЕНИЕ 1</w:t>
      </w:r>
    </w:p>
    <w:p>
      <w:pPr>
        <w:pStyle w:val="Default"/>
        <w:jc w:val="center"/>
        <w:rPr>
          <w:rFonts w:ascii="Times New Roman" w:hAnsi="Times New Roman" w:cs="Times New Roman"/>
          <w:b/>
          <w:b/>
          <w:bCs/>
          <w:sz w:val="20"/>
          <w:szCs w:val="20"/>
        </w:rPr>
      </w:pPr>
      <w:r>
        <w:rPr>
          <w:rFonts w:cs="Times New Roman" w:ascii="Times New Roman" w:hAnsi="Times New Roman"/>
          <w:b/>
          <w:bCs/>
          <w:sz w:val="20"/>
          <w:szCs w:val="20"/>
        </w:rPr>
        <w:t xml:space="preserve">ВЕСОВЫЕ ГАНДИКАПЫ (зачётная группа </w:t>
      </w:r>
      <w:r>
        <w:rPr>
          <w:rFonts w:cs="Times New Roman" w:ascii="Times New Roman" w:hAnsi="Times New Roman"/>
          <w:b/>
          <w:bCs/>
          <w:sz w:val="20"/>
          <w:szCs w:val="20"/>
          <w:lang w:val="en-US"/>
        </w:rPr>
        <w:t>S</w:t>
      </w:r>
      <w:r>
        <w:rPr>
          <w:rFonts w:cs="Times New Roman" w:ascii="Times New Roman" w:hAnsi="Times New Roman"/>
          <w:b/>
          <w:bCs/>
          <w:sz w:val="20"/>
          <w:szCs w:val="20"/>
        </w:rPr>
        <w:t>1600)</w:t>
      </w:r>
    </w:p>
    <w:p>
      <w:pPr>
        <w:pStyle w:val="Default"/>
        <w:jc w:val="center"/>
        <w:rPr>
          <w:rFonts w:ascii="Times New Roman" w:hAnsi="Times New Roman" w:cs="Times New Roman"/>
          <w:b/>
          <w:b/>
          <w:bCs/>
          <w:sz w:val="20"/>
          <w:szCs w:val="20"/>
        </w:rPr>
      </w:pPr>
      <w:r>
        <w:rPr>
          <w:rFonts w:cs="Times New Roman" w:ascii="Times New Roman" w:hAnsi="Times New Roman"/>
          <w:b/>
          <w:bCs/>
          <w:sz w:val="20"/>
          <w:szCs w:val="20"/>
        </w:rPr>
      </w:r>
    </w:p>
    <w:p>
      <w:pPr>
        <w:pStyle w:val="Default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Минимальный вес автомобиля, устанавливаемый данным Приложением, зависит от результатов, достигнутых данным водителем, вне зависимости от того, на каком автомобиле он выступал (спортивный весовой гандикап).</w:t>
      </w:r>
    </w:p>
    <w:p>
      <w:pPr>
        <w:pStyle w:val="Default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b/>
          <w:bCs/>
          <w:sz w:val="20"/>
          <w:szCs w:val="20"/>
        </w:rPr>
        <w:t xml:space="preserve">Спортивный весовой гандикап </w:t>
      </w:r>
    </w:p>
    <w:p>
      <w:pPr>
        <w:pStyle w:val="Default"/>
        <w:spacing w:before="0" w:after="100"/>
        <w:jc w:val="both"/>
        <w:rPr/>
      </w:pPr>
      <w:r>
        <w:rPr>
          <w:rFonts w:cs="Times New Roman" w:ascii="Times New Roman" w:hAnsi="Times New Roman"/>
          <w:b/>
          <w:bCs/>
          <w:sz w:val="20"/>
          <w:szCs w:val="20"/>
        </w:rPr>
        <w:t xml:space="preserve">1. </w:t>
      </w:r>
      <w:r>
        <w:rPr>
          <w:rFonts w:cs="Times New Roman" w:ascii="Times New Roman" w:hAnsi="Times New Roman"/>
          <w:sz w:val="20"/>
          <w:szCs w:val="20"/>
        </w:rPr>
        <w:t xml:space="preserve">Каждому Водителю на первый Этап, в которой он принимает участие, к установленному ТТ минимальному весу автомобиля добавляется весовой гандикап в размере 10 кг. </w:t>
      </w:r>
    </w:p>
    <w:p>
      <w:pPr>
        <w:pStyle w:val="Default"/>
        <w:jc w:val="both"/>
        <w:rPr/>
      </w:pPr>
      <w:r>
        <w:rPr>
          <w:rFonts w:cs="Times New Roman" w:ascii="Times New Roman" w:hAnsi="Times New Roman"/>
          <w:b/>
          <w:bCs/>
          <w:sz w:val="20"/>
          <w:szCs w:val="20"/>
        </w:rPr>
        <w:t xml:space="preserve">2. </w:t>
      </w:r>
      <w:r>
        <w:rPr>
          <w:rFonts w:cs="Times New Roman" w:ascii="Times New Roman" w:hAnsi="Times New Roman"/>
          <w:sz w:val="20"/>
          <w:szCs w:val="20"/>
        </w:rPr>
        <w:t xml:space="preserve">В зависимости от места, занятого Водителем на предыдущем Этапе к следующему Этапу, в котором он будет выступать, минимальный вес его автомобиля (с полностью экипированным Водителем) будет изменен на следующую величину: </w:t>
      </w:r>
    </w:p>
    <w:p>
      <w:pPr>
        <w:pStyle w:val="Default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</w:r>
    </w:p>
    <w:tbl>
      <w:tblPr>
        <w:tblW w:w="8305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686"/>
        <w:gridCol w:w="567"/>
        <w:gridCol w:w="567"/>
        <w:gridCol w:w="567"/>
        <w:gridCol w:w="567"/>
        <w:gridCol w:w="567"/>
        <w:gridCol w:w="567"/>
        <w:gridCol w:w="1217"/>
      </w:tblGrid>
      <w:tr>
        <w:trPr>
          <w:trHeight w:val="350" w:hRule="atLeast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080" w:leader="none"/>
              </w:tabs>
              <w:spacing w:before="0" w:after="0"/>
              <w:ind w:right="-143" w:hanging="0"/>
              <w:rPr>
                <w:b/>
                <w:b/>
              </w:rPr>
            </w:pPr>
            <w:r>
              <w:rPr>
                <w:b/>
              </w:rPr>
              <w:t>Занятое место на этапе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ind w:right="-143" w:hanging="0"/>
              <w:jc w:val="center"/>
              <w:rPr>
                <w:b/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ind w:right="-143" w:hanging="0"/>
              <w:jc w:val="center"/>
              <w:rPr>
                <w:b/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ind w:right="-143" w:hanging="0"/>
              <w:jc w:val="center"/>
              <w:rPr>
                <w:b/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ind w:right="-143" w:hanging="0"/>
              <w:jc w:val="center"/>
              <w:rPr>
                <w:b/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ind w:right="-143" w:hanging="0"/>
              <w:jc w:val="center"/>
              <w:rPr>
                <w:b/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ind w:right="-143" w:hanging="0"/>
              <w:jc w:val="center"/>
              <w:rPr>
                <w:b/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ind w:right="-143" w:hanging="0"/>
              <w:jc w:val="center"/>
              <w:rPr/>
            </w:pPr>
            <w:r>
              <w:rPr>
                <w:b/>
              </w:rPr>
              <w:t>7</w:t>
            </w:r>
            <w:r>
              <w:rPr>
                <w:b/>
                <w:lang w:val="en-US"/>
              </w:rPr>
              <w:t xml:space="preserve"> </w:t>
            </w:r>
            <w:r>
              <w:rPr>
                <w:b/>
              </w:rPr>
              <w:t>и ниже</w:t>
            </w:r>
          </w:p>
        </w:tc>
      </w:tr>
      <w:tr>
        <w:trPr>
          <w:trHeight w:val="350" w:hRule="atLeast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ind w:right="-143" w:hanging="0"/>
              <w:rPr/>
            </w:pPr>
            <w:r>
              <w:rPr/>
              <w:t>Изменение минимального веса, кг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ind w:right="-143" w:hanging="0"/>
              <w:jc w:val="center"/>
              <w:rPr/>
            </w:pPr>
            <w:r>
              <w:rPr>
                <w:lang w:val="en-US"/>
              </w:rPr>
              <w:t>+</w:t>
            </w:r>
            <w:r>
              <w:rPr/>
              <w:t>15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ind w:right="-143" w:hanging="0"/>
              <w:jc w:val="center"/>
              <w:rPr/>
            </w:pPr>
            <w:r>
              <w:rPr>
                <w:lang w:val="en-US"/>
              </w:rPr>
              <w:t>+</w:t>
            </w:r>
            <w:r>
              <w:rPr/>
              <w:t>1</w:t>
            </w:r>
            <w:r>
              <w:rPr>
                <w:lang w:val="en-US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ind w:right="-143" w:hanging="0"/>
              <w:jc w:val="center"/>
              <w:rPr>
                <w:lang w:val="en-US"/>
              </w:rPr>
            </w:pPr>
            <w:r>
              <w:rPr>
                <w:lang w:val="en-US"/>
              </w:rPr>
              <w:t>+</w:t>
            </w:r>
            <w:r>
              <w:rPr/>
              <w:t>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ind w:right="-143" w:hanging="0"/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ind w:right="-143" w:hanging="0"/>
              <w:jc w:val="center"/>
              <w:rPr/>
            </w:pPr>
            <w:r>
              <w:rPr/>
              <w:t>-5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ind w:right="-143" w:hanging="0"/>
              <w:jc w:val="center"/>
              <w:rPr/>
            </w:pPr>
            <w:r>
              <w:rPr>
                <w:lang w:val="en-US"/>
              </w:rPr>
              <w:t>-</w:t>
            </w:r>
            <w:r>
              <w:rPr/>
              <w:t>1</w:t>
            </w:r>
            <w:r>
              <w:rPr>
                <w:lang w:val="en-US"/>
              </w:rPr>
              <w:t>0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ind w:right="-143" w:hanging="0"/>
              <w:jc w:val="center"/>
              <w:rPr/>
            </w:pPr>
            <w:r>
              <w:rPr>
                <w:lang w:val="en-US"/>
              </w:rPr>
              <w:t>-</w:t>
            </w:r>
            <w:r>
              <w:rPr/>
              <w:t>15</w:t>
            </w:r>
          </w:p>
        </w:tc>
      </w:tr>
    </w:tbl>
    <w:p>
      <w:pPr>
        <w:pStyle w:val="Default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Спортивный весовой гандикап начисляется в зависимости от места, занятого Водителем в своей зачётной группе.</w:t>
      </w:r>
    </w:p>
    <w:p>
      <w:pPr>
        <w:pStyle w:val="Default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Вышеуказанный весовой гандикап носит накопительный характер, т.е. суммируется на протяжении всех Этапов, но при его применении общее увеличение минимального веса (относительно определенного ТТ) не должно превышать 30 кг.</w:t>
      </w:r>
    </w:p>
    <w:p>
      <w:pPr>
        <w:pStyle w:val="Default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Default"/>
        <w:spacing w:before="0" w:after="100"/>
        <w:jc w:val="both"/>
        <w:rPr/>
      </w:pPr>
      <w:r>
        <w:rPr>
          <w:rFonts w:cs="Times New Roman" w:ascii="Times New Roman" w:hAnsi="Times New Roman"/>
          <w:b/>
          <w:bCs/>
          <w:sz w:val="20"/>
          <w:szCs w:val="20"/>
        </w:rPr>
        <w:t xml:space="preserve">3. </w:t>
      </w:r>
      <w:r>
        <w:rPr>
          <w:rFonts w:cs="Times New Roman" w:ascii="Times New Roman" w:hAnsi="Times New Roman"/>
          <w:sz w:val="20"/>
          <w:szCs w:val="20"/>
        </w:rPr>
        <w:t xml:space="preserve">Если Водитель принял участие в Этапе, но не классифицирован в нем (кроме случаев аннулирования результата или дисквалификации в порядке наказания), то ранее добавленный ему весовой гандикап уменьшается так же, как занявшему место за пределами первой шестёрки (на 15 кг). </w:t>
      </w:r>
    </w:p>
    <w:p>
      <w:pPr>
        <w:pStyle w:val="Default"/>
        <w:spacing w:before="0" w:after="100"/>
        <w:jc w:val="both"/>
        <w:rPr/>
      </w:pPr>
      <w:r>
        <w:rPr>
          <w:rFonts w:cs="Times New Roman" w:ascii="Times New Roman" w:hAnsi="Times New Roman"/>
          <w:b/>
          <w:bCs/>
          <w:sz w:val="20"/>
          <w:szCs w:val="20"/>
        </w:rPr>
        <w:t xml:space="preserve">4. </w:t>
      </w:r>
      <w:r>
        <w:rPr>
          <w:rFonts w:cs="Times New Roman" w:ascii="Times New Roman" w:hAnsi="Times New Roman"/>
          <w:sz w:val="20"/>
          <w:szCs w:val="20"/>
        </w:rPr>
        <w:t xml:space="preserve">Если Водитель был наказан исключением из зачета (аннулированием результата), либо пропустил один или несколько Этапов многоэтапного соревнования, то ранее добавленный ему весовой гандикап не изменяется. </w:t>
      </w:r>
    </w:p>
    <w:p>
      <w:pPr>
        <w:pStyle w:val="Default"/>
        <w:spacing w:before="0" w:after="100"/>
        <w:jc w:val="both"/>
        <w:rPr/>
      </w:pPr>
      <w:r>
        <w:rPr>
          <w:rFonts w:cs="Times New Roman" w:ascii="Times New Roman" w:hAnsi="Times New Roman"/>
          <w:b/>
          <w:bCs/>
          <w:sz w:val="20"/>
          <w:szCs w:val="20"/>
        </w:rPr>
        <w:t xml:space="preserve">5. </w:t>
      </w:r>
      <w:r>
        <w:rPr>
          <w:rFonts w:cs="Times New Roman" w:ascii="Times New Roman" w:hAnsi="Times New Roman"/>
          <w:sz w:val="20"/>
          <w:szCs w:val="20"/>
        </w:rPr>
        <w:t xml:space="preserve">Вычисление спортивного весового гандикапа для каждого автомобиля на текущую гонку проводится в следующем порядке: </w:t>
      </w:r>
    </w:p>
    <w:p>
      <w:pPr>
        <w:pStyle w:val="Default"/>
        <w:spacing w:before="0" w:after="10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−</w:t>
      </w:r>
      <w:r>
        <w:rPr>
          <w:rFonts w:eastAsia="Times New Roman" w:cs="Times New Roman" w:ascii="Times New Roman" w:hAnsi="Times New Roman"/>
          <w:sz w:val="20"/>
          <w:szCs w:val="20"/>
        </w:rPr>
        <w:t xml:space="preserve"> </w:t>
      </w:r>
      <w:r>
        <w:rPr>
          <w:rFonts w:cs="Times New Roman" w:ascii="Times New Roman" w:hAnsi="Times New Roman"/>
          <w:sz w:val="20"/>
          <w:szCs w:val="20"/>
        </w:rPr>
        <w:t>Если полученная сумма превышает предельную величину, указанную в статье 2 то весовой гандикап принимается равным 30 кг.</w:t>
      </w:r>
    </w:p>
    <w:p>
      <w:pPr>
        <w:pStyle w:val="Default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−</w:t>
      </w:r>
      <w:r>
        <w:rPr>
          <w:rFonts w:eastAsia="Times New Roman" w:cs="Times New Roman" w:ascii="Times New Roman" w:hAnsi="Times New Roman"/>
          <w:sz w:val="20"/>
          <w:szCs w:val="20"/>
        </w:rPr>
        <w:t xml:space="preserve"> </w:t>
      </w:r>
      <w:r>
        <w:rPr>
          <w:rFonts w:cs="Times New Roman" w:ascii="Times New Roman" w:hAnsi="Times New Roman"/>
          <w:sz w:val="20"/>
          <w:szCs w:val="20"/>
        </w:rPr>
        <w:t xml:space="preserve">Если весовой гандикап, вычисленный согласно статье 2, является отрицательной величиной, то установленный техническими требованиями минимальный вес может быть уменьшен на 10 кг, и дальнейшее его увеличение согласно статье 2 (к следующей гонке) производится от полученного таким образом веса. </w:t>
      </w:r>
    </w:p>
    <w:p>
      <w:pPr>
        <w:pStyle w:val="Default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Default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b/>
          <w:bCs/>
          <w:sz w:val="20"/>
          <w:szCs w:val="20"/>
        </w:rPr>
        <w:t xml:space="preserve">Общее по весовому гандикапу </w:t>
      </w:r>
    </w:p>
    <w:p>
      <w:pPr>
        <w:pStyle w:val="Default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b/>
          <w:bCs/>
          <w:sz w:val="20"/>
          <w:szCs w:val="20"/>
        </w:rPr>
        <w:t xml:space="preserve">6. </w:t>
      </w:r>
      <w:r>
        <w:rPr>
          <w:rFonts w:cs="Times New Roman" w:ascii="Times New Roman" w:hAnsi="Times New Roman"/>
          <w:sz w:val="20"/>
          <w:szCs w:val="20"/>
        </w:rPr>
        <w:t xml:space="preserve">Минимальный вес, указанный в технических требованиях зачётной группы и дополненный в соответствии с выше изложенным должен соблюдаться на протяжении всех заездов. </w:t>
      </w:r>
    </w:p>
    <w:p>
      <w:pPr>
        <w:pStyle w:val="Default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autoSpaceDE w:val="false"/>
        <w:spacing w:lineRule="auto" w:line="240" w:before="0" w:after="0"/>
        <w:jc w:val="both"/>
        <w:rPr>
          <w:rFonts w:ascii="Times New Roman" w:hAnsi="Times New Roman" w:cs="Times New Roman"/>
          <w:iCs/>
          <w:sz w:val="20"/>
          <w:szCs w:val="20"/>
        </w:rPr>
      </w:pPr>
      <w:r>
        <w:rPr>
          <w:rFonts w:cs="Times New Roman" w:ascii="Times New Roman" w:hAnsi="Times New Roman"/>
          <w:b/>
          <w:iCs/>
          <w:sz w:val="20"/>
          <w:szCs w:val="20"/>
        </w:rPr>
        <w:t xml:space="preserve">6.1. </w:t>
      </w:r>
      <w:r>
        <w:rPr>
          <w:rFonts w:cs="Times New Roman" w:ascii="Times New Roman" w:hAnsi="Times New Roman"/>
          <w:iCs/>
          <w:sz w:val="20"/>
          <w:szCs w:val="20"/>
        </w:rPr>
        <w:t>Для автомобилей зачетной группы «</w:t>
      </w:r>
      <w:r>
        <w:rPr>
          <w:rFonts w:cs="Times New Roman" w:ascii="Times New Roman" w:hAnsi="Times New Roman"/>
          <w:iCs/>
          <w:sz w:val="20"/>
          <w:szCs w:val="20"/>
          <w:lang w:val="en-US"/>
        </w:rPr>
        <w:t>S</w:t>
      </w:r>
      <w:r>
        <w:rPr>
          <w:rFonts w:cs="Times New Roman" w:ascii="Times New Roman" w:hAnsi="Times New Roman"/>
          <w:iCs/>
          <w:sz w:val="20"/>
          <w:szCs w:val="20"/>
        </w:rPr>
        <w:t>1600» минимальный вес автомобиля с Водителем в полной экипировке должен соответствовать п.201 Приложения 26 КиТТ. Редакции 2021года</w:t>
      </w:r>
    </w:p>
    <w:p>
      <w:pPr>
        <w:pStyle w:val="Normal"/>
        <w:autoSpaceDE w:val="false"/>
        <w:spacing w:lineRule="auto" w:line="240" w:before="0" w:after="0"/>
        <w:jc w:val="both"/>
        <w:rPr>
          <w:rFonts w:ascii="Times New Roman" w:hAnsi="Times New Roman" w:cs="Times New Roman"/>
          <w:iCs/>
          <w:sz w:val="20"/>
          <w:szCs w:val="20"/>
        </w:rPr>
      </w:pPr>
      <w:r>
        <w:rPr>
          <w:rFonts w:cs="Times New Roman" w:ascii="Times New Roman" w:hAnsi="Times New Roman"/>
          <w:iCs/>
          <w:sz w:val="20"/>
          <w:szCs w:val="20"/>
        </w:rPr>
      </w:r>
    </w:p>
    <w:p>
      <w:pPr>
        <w:pStyle w:val="Normal"/>
        <w:autoSpaceDE w:val="false"/>
        <w:spacing w:lineRule="auto" w:line="240" w:before="0" w:after="0"/>
        <w:rPr>
          <w:rFonts w:ascii="Times New Roman" w:hAnsi="Times New Roman" w:cs="Times New Roman"/>
          <w:iCs/>
          <w:sz w:val="20"/>
          <w:szCs w:val="20"/>
        </w:rPr>
      </w:pPr>
      <w:r>
        <w:rPr>
          <w:rFonts w:cs="Times New Roman" w:ascii="Times New Roman" w:hAnsi="Times New Roman"/>
          <w:iCs/>
          <w:sz w:val="20"/>
          <w:szCs w:val="20"/>
        </w:rPr>
      </w:r>
    </w:p>
    <w:p>
      <w:pPr>
        <w:pStyle w:val="Normal"/>
        <w:autoSpaceDE w:val="false"/>
        <w:spacing w:lineRule="auto" w:line="240" w:before="0" w:after="0"/>
        <w:rPr>
          <w:rFonts w:ascii="Times New Roman" w:hAnsi="Times New Roman" w:cs="Times New Roman"/>
          <w:iCs/>
          <w:sz w:val="20"/>
          <w:szCs w:val="20"/>
        </w:rPr>
      </w:pPr>
      <w:r>
        <w:rPr>
          <w:rFonts w:cs="Times New Roman" w:ascii="Times New Roman" w:hAnsi="Times New Roman"/>
          <w:iCs/>
          <w:sz w:val="20"/>
          <w:szCs w:val="20"/>
        </w:rPr>
      </w:r>
    </w:p>
    <w:p>
      <w:pPr>
        <w:pStyle w:val="Normal"/>
        <w:autoSpaceDE w:val="false"/>
        <w:spacing w:lineRule="auto" w:line="240" w:before="0" w:after="0"/>
        <w:rPr>
          <w:rFonts w:ascii="Times New Roman" w:hAnsi="Times New Roman" w:cs="Times New Roman"/>
          <w:iCs/>
          <w:sz w:val="20"/>
          <w:szCs w:val="20"/>
        </w:rPr>
      </w:pPr>
      <w:r>
        <w:rPr>
          <w:rFonts w:cs="Times New Roman" w:ascii="Times New Roman" w:hAnsi="Times New Roman"/>
          <w:iCs/>
          <w:sz w:val="20"/>
          <w:szCs w:val="20"/>
        </w:rPr>
      </w:r>
    </w:p>
    <w:p>
      <w:pPr>
        <w:pStyle w:val="Normal"/>
        <w:autoSpaceDE w:val="false"/>
        <w:spacing w:lineRule="auto" w:line="240" w:before="0" w:after="0"/>
        <w:rPr>
          <w:rFonts w:ascii="Times New Roman" w:hAnsi="Times New Roman" w:cs="Times New Roman"/>
          <w:iCs/>
          <w:sz w:val="20"/>
          <w:szCs w:val="20"/>
        </w:rPr>
      </w:pPr>
      <w:r>
        <w:rPr>
          <w:rFonts w:cs="Times New Roman" w:ascii="Times New Roman" w:hAnsi="Times New Roman"/>
          <w:iCs/>
          <w:sz w:val="20"/>
          <w:szCs w:val="20"/>
        </w:rPr>
      </w:r>
    </w:p>
    <w:p>
      <w:pPr>
        <w:pStyle w:val="Normal"/>
        <w:autoSpaceDE w:val="false"/>
        <w:spacing w:lineRule="auto" w:line="240" w:before="0" w:after="0"/>
        <w:rPr/>
      </w:pPr>
      <w:r>
        <w:rPr/>
      </w:r>
    </w:p>
    <w:p>
      <w:pPr>
        <w:pStyle w:val="Normal"/>
        <w:autoSpaceDE w:val="false"/>
        <w:spacing w:lineRule="auto" w:line="240" w:before="0" w:after="0"/>
        <w:rPr/>
      </w:pPr>
      <w:r>
        <w:rPr/>
      </w:r>
    </w:p>
    <w:p>
      <w:pPr>
        <w:pStyle w:val="Normal"/>
        <w:autoSpaceDE w:val="false"/>
        <w:spacing w:lineRule="auto" w:line="240" w:before="0" w:after="0"/>
        <w:rPr/>
      </w:pPr>
      <w:r>
        <w:rPr/>
      </w:r>
    </w:p>
    <w:p>
      <w:pPr>
        <w:pStyle w:val="Normal"/>
        <w:autoSpaceDE w:val="false"/>
        <w:spacing w:lineRule="auto" w:line="240" w:before="0" w:after="0"/>
        <w:rPr/>
      </w:pPr>
      <w:r>
        <w:rPr/>
      </w:r>
    </w:p>
    <w:p>
      <w:pPr>
        <w:pStyle w:val="Normal"/>
        <w:autoSpaceDE w:val="false"/>
        <w:spacing w:lineRule="auto" w:line="240" w:before="0" w:after="0"/>
        <w:rPr/>
      </w:pPr>
      <w:r>
        <w:rPr/>
      </w:r>
    </w:p>
    <w:p>
      <w:pPr>
        <w:pStyle w:val="Normal"/>
        <w:autoSpaceDE w:val="false"/>
        <w:spacing w:lineRule="auto" w:line="240" w:before="0" w:after="0"/>
        <w:rPr/>
      </w:pPr>
      <w:r>
        <w:rPr/>
      </w:r>
    </w:p>
    <w:p>
      <w:pPr>
        <w:pStyle w:val="Normal"/>
        <w:autoSpaceDE w:val="false"/>
        <w:spacing w:lineRule="auto" w:line="240" w:before="0" w:after="0"/>
        <w:rPr/>
      </w:pPr>
      <w:r>
        <w:rPr/>
      </w:r>
    </w:p>
    <w:p>
      <w:pPr>
        <w:pStyle w:val="Normal"/>
        <w:autoSpaceDE w:val="false"/>
        <w:spacing w:lineRule="auto" w:line="240" w:before="0" w:after="0"/>
        <w:rPr/>
      </w:pPr>
      <w:r>
        <w:rPr/>
      </w:r>
    </w:p>
    <w:p>
      <w:pPr>
        <w:pStyle w:val="Normal"/>
        <w:autoSpaceDE w:val="false"/>
        <w:spacing w:lineRule="auto" w:line="240" w:before="0" w:after="0"/>
        <w:rPr/>
      </w:pPr>
      <w:r>
        <w:rPr/>
      </w:r>
    </w:p>
    <w:p>
      <w:pPr>
        <w:pStyle w:val="Normal"/>
        <w:autoSpaceDE w:val="false"/>
        <w:spacing w:lineRule="auto" w:line="240" w:before="0" w:after="0"/>
        <w:rPr/>
      </w:pPr>
      <w:r>
        <w:rPr/>
      </w:r>
    </w:p>
    <w:p>
      <w:pPr>
        <w:pStyle w:val="Normal"/>
        <w:autoSpaceDE w:val="false"/>
        <w:spacing w:lineRule="auto" w:line="240" w:before="0" w:after="0"/>
        <w:rPr/>
      </w:pPr>
      <w:r>
        <w:rPr/>
      </w:r>
    </w:p>
    <w:p>
      <w:pPr>
        <w:pStyle w:val="Normal"/>
        <w:autoSpaceDE w:val="false"/>
        <w:spacing w:lineRule="auto" w:line="240" w:before="0" w:after="0"/>
        <w:rPr/>
      </w:pPr>
      <w:r>
        <w:rPr/>
      </w:r>
    </w:p>
    <w:p>
      <w:pPr>
        <w:pStyle w:val="Normal"/>
        <w:autoSpaceDE w:val="false"/>
        <w:spacing w:lineRule="auto" w:line="240" w:before="0" w:after="0"/>
        <w:rPr/>
      </w:pPr>
      <w:r>
        <w:rPr/>
      </w:r>
    </w:p>
    <w:p>
      <w:pPr>
        <w:pStyle w:val="Normal"/>
        <w:autoSpaceDE w:val="false"/>
        <w:spacing w:lineRule="auto" w:line="240" w:before="0" w:after="0"/>
        <w:rPr/>
      </w:pPr>
      <w:r>
        <w:rPr/>
        <w:t>Приложение 2</w:t>
      </w:r>
    </w:p>
    <w:p>
      <w:pPr>
        <w:pStyle w:val="Normal"/>
        <w:spacing w:before="0" w:after="0"/>
        <w:rPr>
          <w:vanish/>
        </w:rPr>
      </w:pPr>
      <w:r>
        <w:rPr>
          <w:vanish/>
        </w:rPr>
      </w:r>
      <w:r>
        <mc:AlternateContent>
          <mc:Choice Requires="wps">
            <w:drawing>
              <wp:anchor behindDoc="0" distT="0" distB="0" distL="114300" distR="114300" simplePos="0" locked="0" layoutInCell="0" allowOverlap="1" relativeHeight="5">
                <wp:simplePos x="0" y="0"/>
                <wp:positionH relativeFrom="margin">
                  <wp:align>center</wp:align>
                </wp:positionH>
                <wp:positionV relativeFrom="paragraph">
                  <wp:posOffset>163195</wp:posOffset>
                </wp:positionV>
                <wp:extent cx="6130925" cy="20955"/>
                <wp:effectExtent l="0" t="0" r="0" b="0"/>
                <wp:wrapSquare wrapText="bothSides"/>
                <wp:docPr id="4" name="Frame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30925" cy="20955"/>
                        </a:xfrm>
                        <a:prstGeom prst="rect"/>
                        <a:solidFill>
                          <a:srgbClr val="FFFFFF">
                            <a:alpha val="0"/>
                          </a:srgbClr>
                        </a:solidFill>
                      </wps:spPr>
                      <wps:txbx>
                        <w:txbxContent>
                          <w:tbl>
                            <w:tblPr>
                              <w:tblW w:w="9655" w:type="dxa"/>
                              <w:jc w:val="left"/>
                              <w:tblInd w:w="-5" w:type="dxa"/>
                              <w:tblLayout w:type="fixed"/>
                              <w:tblCell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blCellMar>
                            </w:tblPr>
                            <w:tblGrid>
                              <w:gridCol w:w="6115"/>
                              <w:gridCol w:w="1946"/>
                              <w:gridCol w:w="1594"/>
                            </w:tblGrid>
                            <w:tr>
                              <w:trPr>
                                <w:trHeight w:val="413" w:hRule="atLeast"/>
                                <w:cantSplit w:val="true"/>
                              </w:trPr>
                              <w:tc>
                                <w:tcPr>
                                  <w:tcW w:w="6115" w:type="dxa"/>
                                  <w:vMerge w:val="restar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Normal"/>
                                    <w:spacing w:before="0" w:after="200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/>
                                      <w:i/>
                                      <w:i/>
                                    </w:rPr>
                                  </w:pPr>
                                  <w:r>
                                    <w:rPr>
                                      <w:rFonts w:cs="Times New Roman" w:ascii="Times New Roman" w:hAnsi="Times New Roman"/>
                                      <w:b/>
                                      <w:bCs/>
                                      <w:i/>
                                      <w:iCs/>
                                    </w:rPr>
                                    <w:t>Чемпионат и первенство Нижегородской области по автомобильным кольцевым гонкам серии NLS  2021 г.</w:t>
                                  </w:r>
                                </w:p>
                              </w:tc>
                              <w:tc>
                                <w:tcPr>
                                  <w:tcW w:w="1946" w:type="dxa"/>
                                  <w:tcBorders>
                                    <w:top w:val="single" w:sz="4" w:space="0" w:color="000000"/>
                                    <w:left w:val="doub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>
                                  <w:pPr>
                                    <w:pStyle w:val="Normal"/>
                                    <w:spacing w:before="0" w:after="200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cs="Times New Roman" w:ascii="Times New Roman" w:hAnsi="Times New Roman"/>
                                      <w:sz w:val="20"/>
                                      <w:szCs w:val="20"/>
                                    </w:rPr>
                                    <w:t>зачетная группа/команда</w:t>
                                  </w:r>
                                </w:p>
                              </w:tc>
                              <w:tc>
                                <w:tcPr>
                                  <w:tcW w:w="1594" w:type="dxa"/>
                                  <w:tcBorders>
                                    <w:top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>
                                  <w:pPr>
                                    <w:pStyle w:val="Normal"/>
                                    <w:spacing w:before="0" w:after="200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cs="Times New Roman" w:ascii="Times New Roman" w:hAnsi="Times New Roman"/>
                                      <w:sz w:val="20"/>
                                      <w:szCs w:val="20"/>
                                    </w:rPr>
                                    <w:t>стартовый №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71" w:hRule="atLeast"/>
                                <w:cantSplit w:val="true"/>
                              </w:trPr>
                              <w:tc>
                                <w:tcPr>
                                  <w:tcW w:w="6115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Normal"/>
                                    <w:snapToGrid w:val="false"/>
                                    <w:spacing w:before="0" w:after="200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cs="Times New Roman" w:ascii="Times New Roman" w:hAnsi="Times New Roman"/>
                                      <w:sz w:val="2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946" w:type="dxa"/>
                                  <w:tcBorders>
                                    <w:top w:val="single" w:sz="4" w:space="0" w:color="000000"/>
                                    <w:left w:val="doub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Normal"/>
                                    <w:snapToGrid w:val="false"/>
                                    <w:spacing w:before="0" w:after="200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cs="Times New Roman" w:ascii="Times New Roman" w:hAnsi="Times New Roman"/>
                                      <w:sz w:val="2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594" w:type="dxa"/>
                                  <w:tcBorders>
                                    <w:top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Normal"/>
                                    <w:snapToGrid w:val="false"/>
                                    <w:spacing w:before="0" w:after="200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cs="Times New Roman" w:ascii="Times New Roman" w:hAnsi="Times New Roman"/>
                                      <w:sz w:val="20"/>
                                      <w:szCs w:val="20"/>
                                    </w:rPr>
                                  </w:r>
                                </w:p>
                              </w:tc>
                            </w:tr>
                          </w:tbl>
                        </w:txbxContent>
                      </wps:txbx>
                      <wps:bodyPr anchor="t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fillcolor="#FFFFFF" style="position:absolute;rotation:-0;width:482.75pt;height:1.65pt;mso-wrap-distance-left:9pt;mso-wrap-distance-right:9pt;mso-wrap-distance-top:0pt;mso-wrap-distance-bottom:0pt;margin-top:12.85pt;mso-position-vertical-relative:text;margin-left:0pt;mso-position-horizontal:center;mso-position-horizontal-relative:margin">
                <v:fill opacity="0f"/>
                <v:textbox inset="0in,0in,0in,0in">
                  <w:txbxContent>
                    <w:tbl>
                      <w:tblPr>
                        <w:tblW w:w="9655" w:type="dxa"/>
                        <w:jc w:val="left"/>
                        <w:tblInd w:w="-5" w:type="dxa"/>
                        <w:tblLayout w:type="fixed"/>
                        <w:tblCellMar>
                          <w:top w:w="0" w:type="dxa"/>
                          <w:left w:w="108" w:type="dxa"/>
                          <w:bottom w:w="0" w:type="dxa"/>
                          <w:right w:w="108" w:type="dxa"/>
                        </w:tblCellMar>
                      </w:tblPr>
                      <w:tblGrid>
                        <w:gridCol w:w="6115"/>
                        <w:gridCol w:w="1946"/>
                        <w:gridCol w:w="1594"/>
                      </w:tblGrid>
                      <w:tr>
                        <w:trPr>
                          <w:trHeight w:val="413" w:hRule="atLeast"/>
                          <w:cantSplit w:val="true"/>
                        </w:trPr>
                        <w:tc>
                          <w:tcPr>
                            <w:tcW w:w="6115" w:type="dxa"/>
                            <w:vMerge w:val="restart"/>
                            <w:tcBorders>
                              <w:top w:val="single" w:sz="4" w:space="0" w:color="000000"/>
                              <w:left w:val="single" w:sz="4" w:space="0" w:color="000000"/>
                            </w:tcBorders>
                          </w:tcPr>
                          <w:p>
                            <w:pPr>
                              <w:pStyle w:val="Normal"/>
                              <w:spacing w:before="0" w:after="20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/>
                                <w:i/>
                                <w:i/>
                              </w:rPr>
                            </w:pPr>
                            <w:r>
                              <w:rPr>
                                <w:rFonts w:cs="Times New Roman" w:ascii="Times New Roman" w:hAnsi="Times New Roman"/>
                                <w:b/>
                                <w:bCs/>
                                <w:i/>
                                <w:iCs/>
                              </w:rPr>
                              <w:t>Чемпионат и первенство Нижегородской области по автомобильным кольцевым гонкам серии NLS  2021 г.</w:t>
                            </w:r>
                          </w:p>
                        </w:tc>
                        <w:tc>
                          <w:tcPr>
                            <w:tcW w:w="1946" w:type="dxa"/>
                            <w:tcBorders>
                              <w:top w:val="single" w:sz="4" w:space="0" w:color="000000"/>
                              <w:left w:val="doub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>
                            <w:pPr>
                              <w:pStyle w:val="Normal"/>
                              <w:spacing w:before="0" w:after="200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Times New Roman" w:ascii="Times New Roman" w:hAnsi="Times New Roman"/>
                                <w:sz w:val="20"/>
                                <w:szCs w:val="20"/>
                              </w:rPr>
                              <w:t>зачетная группа/команда</w:t>
                            </w:r>
                          </w:p>
                        </w:tc>
                        <w:tc>
                          <w:tcPr>
                            <w:tcW w:w="1594" w:type="dxa"/>
                            <w:tcBorders>
                              <w:top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>
                            <w:pPr>
                              <w:pStyle w:val="Normal"/>
                              <w:spacing w:before="0" w:after="200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Times New Roman" w:ascii="Times New Roman" w:hAnsi="Times New Roman"/>
                                <w:sz w:val="20"/>
                                <w:szCs w:val="20"/>
                              </w:rPr>
                              <w:t>стартовый №</w:t>
                            </w:r>
                          </w:p>
                        </w:tc>
                      </w:tr>
                      <w:tr>
                        <w:trPr>
                          <w:trHeight w:val="71" w:hRule="atLeast"/>
                          <w:cantSplit w:val="true"/>
                        </w:trPr>
                        <w:tc>
                          <w:tcPr>
                            <w:tcW w:w="6115" w:type="dxa"/>
                            <w:vMerge w:val="continue"/>
                            <w:tcBorders>
                              <w:top w:val="single" w:sz="4" w:space="0" w:color="000000"/>
                              <w:left w:val="single" w:sz="4" w:space="0" w:color="000000"/>
                            </w:tcBorders>
                          </w:tcPr>
                          <w:p>
                            <w:pPr>
                              <w:pStyle w:val="Normal"/>
                              <w:snapToGrid w:val="false"/>
                              <w:spacing w:before="0" w:after="200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Times New Roman" w:ascii="Times New Roman" w:hAnsi="Times New Roman"/>
                                <w:sz w:val="20"/>
                                <w:szCs w:val="20"/>
                              </w:rPr>
                            </w:r>
                          </w:p>
                        </w:tc>
                        <w:tc>
                          <w:tcPr>
                            <w:tcW w:w="1946" w:type="dxa"/>
                            <w:tcBorders>
                              <w:top w:val="single" w:sz="4" w:space="0" w:color="000000"/>
                              <w:left w:val="doub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Normal"/>
                              <w:snapToGrid w:val="false"/>
                              <w:spacing w:before="0" w:after="200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Times New Roman" w:ascii="Times New Roman" w:hAnsi="Times New Roman"/>
                                <w:sz w:val="20"/>
                                <w:szCs w:val="20"/>
                              </w:rPr>
                            </w:r>
                          </w:p>
                        </w:tc>
                        <w:tc>
                          <w:tcPr>
                            <w:tcW w:w="1594" w:type="dxa"/>
                            <w:tcBorders>
                              <w:top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Normal"/>
                              <w:snapToGrid w:val="false"/>
                              <w:spacing w:before="0" w:after="200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Times New Roman" w:ascii="Times New Roman" w:hAnsi="Times New Roman"/>
                                <w:sz w:val="20"/>
                                <w:szCs w:val="20"/>
                              </w:rPr>
                            </w:r>
                          </w:p>
                        </w:tc>
                      </w:tr>
                    </w:tbl>
                  </w:txbxContent>
                </v:textbox>
                <w10:wrap type="square"/>
              </v:rect>
            </w:pict>
          </mc:Fallback>
        </mc:AlternateContent>
      </w:r>
    </w:p>
    <w:tbl>
      <w:tblPr>
        <w:tblW w:w="10173" w:type="dxa"/>
        <w:jc w:val="left"/>
        <w:tblInd w:w="-108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33"/>
        <w:gridCol w:w="732"/>
        <w:gridCol w:w="117"/>
        <w:gridCol w:w="848"/>
        <w:gridCol w:w="811"/>
        <w:gridCol w:w="66"/>
        <w:gridCol w:w="538"/>
        <w:gridCol w:w="114"/>
        <w:gridCol w:w="456"/>
        <w:gridCol w:w="86"/>
        <w:gridCol w:w="198"/>
        <w:gridCol w:w="737"/>
        <w:gridCol w:w="851"/>
        <w:gridCol w:w="680"/>
        <w:gridCol w:w="57"/>
        <w:gridCol w:w="227"/>
        <w:gridCol w:w="595"/>
        <w:gridCol w:w="284"/>
        <w:gridCol w:w="540"/>
        <w:gridCol w:w="281"/>
        <w:gridCol w:w="415"/>
        <w:gridCol w:w="152"/>
        <w:gridCol w:w="285"/>
        <w:gridCol w:w="570"/>
      </w:tblGrid>
      <w:tr>
        <w:trPr>
          <w:trHeight w:val="572" w:hRule="atLeast"/>
          <w:cantSplit w:val="true"/>
        </w:trPr>
        <w:tc>
          <w:tcPr>
            <w:tcW w:w="533" w:type="dxa"/>
            <w:tcBorders/>
          </w:tcPr>
          <w:p>
            <w:pPr>
              <w:pStyle w:val="TableHeading"/>
              <w:spacing w:before="0" w:after="200"/>
              <w:rPr/>
            </w:pPr>
            <w:r>
              <w:rPr/>
            </w:r>
          </w:p>
        </w:tc>
        <w:tc>
          <w:tcPr>
            <w:tcW w:w="9640" w:type="dxa"/>
            <w:gridSpan w:val="2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Heading1"/>
              <w:spacing w:before="240" w:after="6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ЗАЯВКА НА УЧАСТИЕ</w:t>
            </w:r>
          </w:p>
        </w:tc>
      </w:tr>
      <w:tr>
        <w:trPr>
          <w:trHeight w:val="529" w:hRule="atLeast"/>
          <w:cantSplit w:val="true"/>
        </w:trPr>
        <w:tc>
          <w:tcPr>
            <w:tcW w:w="533" w:type="dxa"/>
            <w:tcBorders/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4703" w:type="dxa"/>
            <w:gridSpan w:val="11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УЧАСТНИК (ЗАЯВИТЕЛЬ)</w:t>
            </w:r>
          </w:p>
        </w:tc>
        <w:tc>
          <w:tcPr>
            <w:tcW w:w="4937" w:type="dxa"/>
            <w:gridSpan w:val="12"/>
            <w:tcBorders>
              <w:bottom w:val="single" w:sz="4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АВТОМОБИЛЬ</w:t>
            </w:r>
          </w:p>
        </w:tc>
      </w:tr>
      <w:tr>
        <w:trPr>
          <w:trHeight w:val="437" w:hRule="atLeast"/>
          <w:cantSplit w:val="true"/>
        </w:trPr>
        <w:tc>
          <w:tcPr>
            <w:tcW w:w="533" w:type="dxa"/>
            <w:tcBorders/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4703" w:type="dxa"/>
            <w:gridSpan w:val="11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Наименование: </w:t>
            </w:r>
          </w:p>
        </w:tc>
        <w:tc>
          <w:tcPr>
            <w:tcW w:w="4937" w:type="dxa"/>
            <w:gridSpan w:val="12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Модель:</w:t>
            </w:r>
            <w:r>
              <w:rPr>
                <w:rFonts w:cs="Times New Roman" w:ascii="Times New Roman" w:hAnsi="Times New Roman"/>
                <w:sz w:val="20"/>
                <w:szCs w:val="20"/>
                <w:lang w:val="en-US"/>
              </w:rPr>
              <w:t xml:space="preserve"> </w:t>
            </w:r>
          </w:p>
        </w:tc>
      </w:tr>
      <w:tr>
        <w:trPr>
          <w:trHeight w:val="402" w:hRule="atLeast"/>
          <w:cantSplit w:val="true"/>
        </w:trPr>
        <w:tc>
          <w:tcPr>
            <w:tcW w:w="533" w:type="dxa"/>
            <w:tcBorders/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4703" w:type="dxa"/>
            <w:gridSpan w:val="11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Лицензия (ФИА, РАФ) №</w:t>
            </w:r>
          </w:p>
        </w:tc>
        <w:tc>
          <w:tcPr>
            <w:tcW w:w="4937" w:type="dxa"/>
            <w:gridSpan w:val="12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Рабочий объем двигателя: </w:t>
            </w:r>
          </w:p>
        </w:tc>
      </w:tr>
      <w:tr>
        <w:trPr>
          <w:trHeight w:val="449" w:hRule="atLeast"/>
          <w:cantSplit w:val="true"/>
        </w:trPr>
        <w:tc>
          <w:tcPr>
            <w:tcW w:w="533" w:type="dxa"/>
            <w:tcBorders/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849" w:type="dxa"/>
            <w:gridSpan w:val="2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spacing w:before="0" w:after="200"/>
              <w:rPr/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Адрес</w:t>
            </w:r>
          </w:p>
        </w:tc>
        <w:tc>
          <w:tcPr>
            <w:tcW w:w="1725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Индекс </w:t>
            </w:r>
          </w:p>
        </w:tc>
        <w:tc>
          <w:tcPr>
            <w:tcW w:w="2129" w:type="dxa"/>
            <w:gridSpan w:val="6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Страна </w:t>
            </w:r>
          </w:p>
        </w:tc>
        <w:tc>
          <w:tcPr>
            <w:tcW w:w="4937" w:type="dxa"/>
            <w:gridSpan w:val="12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Группа/класс </w:t>
            </w:r>
          </w:p>
        </w:tc>
      </w:tr>
      <w:tr>
        <w:trPr>
          <w:trHeight w:val="555" w:hRule="atLeast"/>
          <w:cantSplit w:val="true"/>
        </w:trPr>
        <w:tc>
          <w:tcPr>
            <w:tcW w:w="533" w:type="dxa"/>
            <w:tcBorders/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849" w:type="dxa"/>
            <w:gridSpan w:val="2"/>
            <w:vMerge w:val="continue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385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Город: </w:t>
            </w:r>
          </w:p>
        </w:tc>
        <w:tc>
          <w:tcPr>
            <w:tcW w:w="1588" w:type="dxa"/>
            <w:gridSpan w:val="3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Подготовка автомобиля (ненужное зачеркнуть)</w:t>
            </w:r>
          </w:p>
        </w:tc>
        <w:tc>
          <w:tcPr>
            <w:tcW w:w="1646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spacing w:before="0" w:after="200"/>
              <w:jc w:val="center"/>
              <w:rPr/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Международная регистрация</w:t>
            </w:r>
          </w:p>
        </w:tc>
        <w:tc>
          <w:tcPr>
            <w:tcW w:w="1703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Действующие КиТТ</w:t>
            </w:r>
          </w:p>
        </w:tc>
      </w:tr>
      <w:tr>
        <w:trPr>
          <w:trHeight w:val="419" w:hRule="atLeast"/>
          <w:cantSplit w:val="true"/>
        </w:trPr>
        <w:tc>
          <w:tcPr>
            <w:tcW w:w="533" w:type="dxa"/>
            <w:tcBorders/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849" w:type="dxa"/>
            <w:gridSpan w:val="2"/>
            <w:vMerge w:val="continue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2377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Ул.</w:t>
            </w:r>
          </w:p>
        </w:tc>
        <w:tc>
          <w:tcPr>
            <w:tcW w:w="740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д.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кв.</w:t>
            </w:r>
          </w:p>
        </w:tc>
        <w:tc>
          <w:tcPr>
            <w:tcW w:w="1588" w:type="dxa"/>
            <w:gridSpan w:val="3"/>
            <w:vMerge w:val="continue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646" w:type="dxa"/>
            <w:gridSpan w:val="4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03" w:type="dxa"/>
            <w:gridSpan w:val="5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>
          <w:cantSplit w:val="true"/>
        </w:trPr>
        <w:tc>
          <w:tcPr>
            <w:tcW w:w="533" w:type="dxa"/>
            <w:tcBorders/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4703" w:type="dxa"/>
            <w:gridSpan w:val="11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(Код) Телефон: </w:t>
            </w:r>
          </w:p>
        </w:tc>
        <w:tc>
          <w:tcPr>
            <w:tcW w:w="3515" w:type="dxa"/>
            <w:gridSpan w:val="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spacing w:before="0" w:after="200"/>
              <w:rPr/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Согласие на размещение рекламы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snapToGrid w:val="false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8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snapToGrid w:val="false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>
          <w:trHeight w:val="465" w:hRule="atLeast"/>
          <w:cantSplit w:val="true"/>
        </w:trPr>
        <w:tc>
          <w:tcPr>
            <w:tcW w:w="533" w:type="dxa"/>
            <w:tcBorders/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4703" w:type="dxa"/>
            <w:gridSpan w:val="11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Heading1"/>
              <w:spacing w:before="24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ВОДИТЕЛЬ</w:t>
            </w:r>
          </w:p>
        </w:tc>
        <w:tc>
          <w:tcPr>
            <w:tcW w:w="4937" w:type="dxa"/>
            <w:gridSpan w:val="12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b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МЕХАНИК</w:t>
            </w:r>
          </w:p>
        </w:tc>
      </w:tr>
      <w:tr>
        <w:trPr>
          <w:trHeight w:val="301" w:hRule="atLeast"/>
          <w:cantSplit w:val="true"/>
        </w:trPr>
        <w:tc>
          <w:tcPr>
            <w:tcW w:w="533" w:type="dxa"/>
            <w:tcBorders/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  <w:b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</w:r>
          </w:p>
        </w:tc>
        <w:tc>
          <w:tcPr>
            <w:tcW w:w="4703" w:type="dxa"/>
            <w:gridSpan w:val="11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Фамилия: </w:t>
            </w:r>
          </w:p>
        </w:tc>
        <w:tc>
          <w:tcPr>
            <w:tcW w:w="4937" w:type="dxa"/>
            <w:gridSpan w:val="12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Фамилия: </w:t>
            </w:r>
          </w:p>
        </w:tc>
      </w:tr>
      <w:tr>
        <w:trPr>
          <w:trHeight w:val="420" w:hRule="atLeast"/>
          <w:cantSplit w:val="true"/>
        </w:trPr>
        <w:tc>
          <w:tcPr>
            <w:tcW w:w="533" w:type="dxa"/>
            <w:tcBorders/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4703" w:type="dxa"/>
            <w:gridSpan w:val="11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Имя: </w:t>
            </w:r>
          </w:p>
        </w:tc>
        <w:tc>
          <w:tcPr>
            <w:tcW w:w="4937" w:type="dxa"/>
            <w:gridSpan w:val="12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Имя: </w:t>
            </w:r>
          </w:p>
        </w:tc>
      </w:tr>
      <w:tr>
        <w:trPr>
          <w:trHeight w:val="425" w:hRule="atLeast"/>
          <w:cantSplit w:val="true"/>
        </w:trPr>
        <w:tc>
          <w:tcPr>
            <w:tcW w:w="533" w:type="dxa"/>
            <w:tcBorders/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4703" w:type="dxa"/>
            <w:gridSpan w:val="11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Гражданство: </w:t>
            </w:r>
          </w:p>
        </w:tc>
        <w:tc>
          <w:tcPr>
            <w:tcW w:w="4937" w:type="dxa"/>
            <w:gridSpan w:val="12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Гражданство: </w:t>
            </w:r>
          </w:p>
        </w:tc>
      </w:tr>
      <w:tr>
        <w:trPr>
          <w:trHeight w:val="417" w:hRule="atLeast"/>
          <w:cantSplit w:val="true"/>
        </w:trPr>
        <w:tc>
          <w:tcPr>
            <w:tcW w:w="533" w:type="dxa"/>
            <w:tcBorders/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2508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Дата рождения: </w:t>
            </w:r>
          </w:p>
        </w:tc>
        <w:tc>
          <w:tcPr>
            <w:tcW w:w="219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Спортивное звание:</w:t>
            </w:r>
          </w:p>
        </w:tc>
        <w:tc>
          <w:tcPr>
            <w:tcW w:w="2410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Дата рождения: </w:t>
            </w:r>
          </w:p>
        </w:tc>
        <w:tc>
          <w:tcPr>
            <w:tcW w:w="252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Спорт. звание: </w:t>
            </w:r>
          </w:p>
        </w:tc>
      </w:tr>
      <w:tr>
        <w:trPr>
          <w:trHeight w:val="424" w:hRule="atLeast"/>
          <w:cantSplit w:val="true"/>
        </w:trPr>
        <w:tc>
          <w:tcPr>
            <w:tcW w:w="533" w:type="dxa"/>
            <w:tcBorders/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732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Адрес</w:t>
            </w:r>
          </w:p>
        </w:tc>
        <w:tc>
          <w:tcPr>
            <w:tcW w:w="1842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Индекс </w:t>
            </w:r>
          </w:p>
        </w:tc>
        <w:tc>
          <w:tcPr>
            <w:tcW w:w="2129" w:type="dxa"/>
            <w:gridSpan w:val="6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Страна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Адрес</w:t>
            </w:r>
          </w:p>
        </w:tc>
        <w:tc>
          <w:tcPr>
            <w:tcW w:w="18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Индекс </w:t>
            </w:r>
          </w:p>
        </w:tc>
        <w:tc>
          <w:tcPr>
            <w:tcW w:w="224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Страна </w:t>
            </w:r>
          </w:p>
        </w:tc>
      </w:tr>
      <w:tr>
        <w:trPr>
          <w:trHeight w:val="416" w:hRule="atLeast"/>
          <w:cantSplit w:val="true"/>
        </w:trPr>
        <w:tc>
          <w:tcPr>
            <w:tcW w:w="533" w:type="dxa"/>
            <w:tcBorders/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732" w:type="dxa"/>
            <w:vMerge w:val="continue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397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Город: </w:t>
            </w:r>
          </w:p>
        </w:tc>
        <w:tc>
          <w:tcPr>
            <w:tcW w:w="851" w:type="dxa"/>
            <w:vMerge w:val="continue"/>
            <w:tcBorders>
              <w:top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408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Город: </w:t>
            </w:r>
          </w:p>
        </w:tc>
      </w:tr>
      <w:tr>
        <w:trPr>
          <w:trHeight w:val="435" w:hRule="atLeast"/>
          <w:cantSplit w:val="true"/>
        </w:trPr>
        <w:tc>
          <w:tcPr>
            <w:tcW w:w="533" w:type="dxa"/>
            <w:tcBorders/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732" w:type="dxa"/>
            <w:vMerge w:val="continue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2380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ул. </w:t>
            </w:r>
          </w:p>
        </w:tc>
        <w:tc>
          <w:tcPr>
            <w:tcW w:w="656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д.</w:t>
            </w:r>
          </w:p>
        </w:tc>
        <w:tc>
          <w:tcPr>
            <w:tcW w:w="935" w:type="dxa"/>
            <w:gridSpan w:val="2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кв.</w:t>
            </w:r>
          </w:p>
        </w:tc>
        <w:tc>
          <w:tcPr>
            <w:tcW w:w="851" w:type="dxa"/>
            <w:vMerge w:val="continue"/>
            <w:tcBorders>
              <w:top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238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6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д.</w:t>
            </w:r>
          </w:p>
        </w:tc>
        <w:tc>
          <w:tcPr>
            <w:tcW w:w="10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кв.</w:t>
            </w:r>
          </w:p>
        </w:tc>
      </w:tr>
      <w:tr>
        <w:trPr>
          <w:trHeight w:val="427" w:hRule="atLeast"/>
          <w:cantSplit w:val="true"/>
        </w:trPr>
        <w:tc>
          <w:tcPr>
            <w:tcW w:w="533" w:type="dxa"/>
            <w:tcBorders/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4703" w:type="dxa"/>
            <w:gridSpan w:val="11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Телефон: </w:t>
            </w:r>
          </w:p>
        </w:tc>
        <w:tc>
          <w:tcPr>
            <w:tcW w:w="4937" w:type="dxa"/>
            <w:gridSpan w:val="12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Телефон: </w:t>
            </w:r>
          </w:p>
        </w:tc>
      </w:tr>
      <w:tr>
        <w:trPr>
          <w:trHeight w:val="420" w:hRule="atLeast"/>
          <w:cantSplit w:val="true"/>
        </w:trPr>
        <w:tc>
          <w:tcPr>
            <w:tcW w:w="533" w:type="dxa"/>
            <w:tcBorders/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4703" w:type="dxa"/>
            <w:gridSpan w:val="11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Лицензия водителя (ФИА, РАФ) №</w:t>
            </w:r>
          </w:p>
        </w:tc>
        <w:tc>
          <w:tcPr>
            <w:tcW w:w="4937" w:type="dxa"/>
            <w:gridSpan w:val="12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Лицензия (ФИА, РАФ)</w:t>
            </w:r>
          </w:p>
        </w:tc>
      </w:tr>
      <w:tr>
        <w:trPr>
          <w:trHeight w:val="426" w:hRule="atLeast"/>
          <w:cantSplit w:val="true"/>
        </w:trPr>
        <w:tc>
          <w:tcPr>
            <w:tcW w:w="533" w:type="dxa"/>
            <w:tcBorders/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4703" w:type="dxa"/>
            <w:gridSpan w:val="11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Подпись:</w:t>
            </w:r>
          </w:p>
        </w:tc>
        <w:tc>
          <w:tcPr>
            <w:tcW w:w="4937" w:type="dxa"/>
            <w:gridSpan w:val="12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Подпись:</w:t>
            </w:r>
          </w:p>
        </w:tc>
      </w:tr>
      <w:tr>
        <w:trPr/>
        <w:tc>
          <w:tcPr>
            <w:tcW w:w="2230" w:type="dxa"/>
            <w:gridSpan w:val="4"/>
            <w:tcBorders/>
            <w:tcMar>
              <w:left w:w="108" w:type="dxa"/>
              <w:right w:w="108" w:type="dxa"/>
            </w:tcMar>
          </w:tcPr>
          <w:p>
            <w:pPr>
              <w:pStyle w:val="Normal"/>
              <w:snapToGrid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  <w:p>
            <w:pPr>
              <w:pStyle w:val="Normal"/>
              <w:spacing w:before="0" w:after="200"/>
              <w:rPr/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Подпись заявителя</w:t>
            </w:r>
          </w:p>
        </w:tc>
        <w:tc>
          <w:tcPr>
            <w:tcW w:w="7943" w:type="dxa"/>
            <w:gridSpan w:val="20"/>
            <w:tcBorders/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2230" w:type="dxa"/>
            <w:gridSpan w:val="4"/>
            <w:tcBorders/>
            <w:tcMar>
              <w:left w:w="108" w:type="dxa"/>
              <w:right w:w="108" w:type="dxa"/>
            </w:tcMar>
          </w:tcPr>
          <w:p>
            <w:pPr>
              <w:pStyle w:val="Normal"/>
              <w:snapToGrid w:val="false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985" w:type="dxa"/>
            <w:gridSpan w:val="5"/>
            <w:tcBorders/>
            <w:tcMar>
              <w:left w:w="108" w:type="dxa"/>
              <w:right w:w="108" w:type="dxa"/>
            </w:tcMar>
          </w:tcPr>
          <w:p>
            <w:pPr>
              <w:pStyle w:val="Normal"/>
              <w:snapToGrid w:val="false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284" w:type="dxa"/>
            <w:gridSpan w:val="2"/>
            <w:tcBorders/>
            <w:tcMar>
              <w:left w:w="108" w:type="dxa"/>
              <w:right w:w="108" w:type="dxa"/>
            </w:tcMar>
          </w:tcPr>
          <w:p>
            <w:pPr>
              <w:pStyle w:val="Normal"/>
              <w:snapToGrid w:val="false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2268" w:type="dxa"/>
            <w:gridSpan w:val="3"/>
            <w:tcBorders/>
            <w:tcMar>
              <w:left w:w="108" w:type="dxa"/>
              <w:right w:w="108" w:type="dxa"/>
            </w:tcMar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(фамилия)</w:t>
            </w:r>
          </w:p>
        </w:tc>
        <w:tc>
          <w:tcPr>
            <w:tcW w:w="284" w:type="dxa"/>
            <w:gridSpan w:val="2"/>
            <w:tcBorders/>
            <w:tcMar>
              <w:left w:w="108" w:type="dxa"/>
              <w:right w:w="108" w:type="dxa"/>
            </w:tcMar>
          </w:tcPr>
          <w:p>
            <w:pPr>
              <w:pStyle w:val="Normal"/>
              <w:snapToGrid w:val="false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2552" w:type="dxa"/>
            <w:gridSpan w:val="7"/>
            <w:tcBorders/>
            <w:tcMar>
              <w:left w:w="108" w:type="dxa"/>
              <w:right w:w="108" w:type="dxa"/>
            </w:tcMar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570" w:type="dxa"/>
            <w:tcBorders/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</w:tbl>
    <w:p>
      <w:pPr>
        <w:pStyle w:val="Normal"/>
        <w:autoSpaceDE w:val="false"/>
        <w:spacing w:lineRule="auto" w:line="240" w:before="0" w:after="0"/>
        <w:rPr>
          <w:rFonts w:ascii="Times New Roman" w:hAnsi="Times New Roman" w:cs="Times New Roman"/>
          <w:b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autoSpaceDE w:val="false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autoSpaceDE w:val="false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autoSpaceDE w:val="false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autoSpaceDE w:val="false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autoSpaceDE w:val="false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autoSpaceDE w:val="false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ПРИЛОЖЕНИЕ 3</w:t>
      </w:r>
    </w:p>
    <w:p>
      <w:pPr>
        <w:pStyle w:val="Normal"/>
        <w:autoSpaceDE w:val="false"/>
        <w:spacing w:lineRule="auto" w:line="240" w:before="0" w:after="0"/>
        <w:jc w:val="center"/>
        <w:rPr/>
      </w:pPr>
      <w:r>
        <w:rPr/>
        <w:t>Шины.</w:t>
      </w:r>
    </w:p>
    <w:tbl>
      <w:tblPr>
        <w:tblW w:w="10693" w:type="dxa"/>
        <w:jc w:val="left"/>
        <w:tblInd w:w="-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68"/>
        <w:gridCol w:w="2670"/>
        <w:gridCol w:w="2671"/>
        <w:gridCol w:w="14"/>
        <w:gridCol w:w="2659"/>
        <w:gridCol w:w="11"/>
      </w:tblGrid>
      <w:tr>
        <w:trPr/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autoSpaceDE w:val="false"/>
              <w:spacing w:lineRule="auto" w:line="240" w:before="0" w:after="0"/>
              <w:jc w:val="center"/>
              <w:rPr/>
            </w:pPr>
            <w:r>
              <w:rPr/>
              <w:t>Зачётная группа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autoSpaceDE w:val="false"/>
              <w:spacing w:lineRule="auto" w:line="240" w:before="0" w:after="0"/>
              <w:jc w:val="center"/>
              <w:rPr/>
            </w:pPr>
            <w:r>
              <w:rPr/>
              <w:t>Марка</w:t>
            </w:r>
          </w:p>
        </w:tc>
        <w:tc>
          <w:tcPr>
            <w:tcW w:w="2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autoSpaceDE w:val="false"/>
              <w:spacing w:lineRule="auto" w:line="240" w:before="0" w:after="0"/>
              <w:jc w:val="center"/>
              <w:rPr/>
            </w:pPr>
            <w:r>
              <w:rPr/>
              <w:t>Радиус</w:t>
            </w:r>
          </w:p>
        </w:tc>
        <w:tc>
          <w:tcPr>
            <w:tcW w:w="26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autoSpaceDE w:val="false"/>
              <w:spacing w:lineRule="auto" w:line="240" w:before="0" w:after="0"/>
              <w:jc w:val="center"/>
              <w:rPr/>
            </w:pPr>
            <w:r>
              <w:rPr/>
              <w:t>Размер</w:t>
            </w:r>
          </w:p>
        </w:tc>
      </w:tr>
      <w:tr>
        <w:trPr>
          <w:trHeight w:val="510" w:hRule="atLeast"/>
        </w:trPr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jc w:val="center"/>
              <w:rPr>
                <w:b/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</w:r>
          </w:p>
          <w:p>
            <w:pPr>
              <w:pStyle w:val="Normal"/>
              <w:autoSpaceDE w:val="false"/>
              <w:spacing w:lineRule="auto" w:line="240" w:before="0" w:after="0"/>
              <w:jc w:val="center"/>
              <w:rPr>
                <w:b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«</w:t>
            </w:r>
            <w:r>
              <w:rPr>
                <w:b/>
                <w:sz w:val="28"/>
                <w:szCs w:val="28"/>
                <w:lang w:val="en-US"/>
              </w:rPr>
              <w:t>S 1600</w:t>
            </w:r>
            <w:r>
              <w:rPr>
                <w:b/>
                <w:sz w:val="28"/>
                <w:szCs w:val="28"/>
              </w:rPr>
              <w:t>»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Yokohama A 048</w:t>
            </w:r>
          </w:p>
          <w:p>
            <w:pPr>
              <w:pStyle w:val="Heading1"/>
              <w:shd w:fill="FFFFFF" w:val="clear"/>
              <w:spacing w:before="0" w:after="90"/>
              <w:jc w:val="center"/>
              <w:rPr>
                <w:rFonts w:ascii="Calibri" w:hAnsi="Calibri" w:cs="Calibri"/>
                <w:bCs w:val="false"/>
                <w:color w:val="000000"/>
                <w:sz w:val="24"/>
                <w:szCs w:val="24"/>
              </w:rPr>
            </w:pPr>
            <w:r>
              <w:rPr>
                <w:rStyle w:val="Inplace"/>
                <w:rFonts w:cs="Calibri" w:ascii="Calibri" w:hAnsi="Calibri"/>
                <w:bCs/>
                <w:color w:val="000000"/>
                <w:sz w:val="24"/>
                <w:szCs w:val="24"/>
              </w:rPr>
              <w:t>Toyo Proxes R888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cs="Calibri"/>
                <w:b/>
                <w:b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cs="Calibri"/>
                <w:b/>
                <w:bCs/>
                <w:color w:val="000000"/>
                <w:sz w:val="24"/>
                <w:szCs w:val="24"/>
                <w:lang w:val="en-US"/>
              </w:rPr>
            </w:r>
          </w:p>
        </w:tc>
        <w:tc>
          <w:tcPr>
            <w:tcW w:w="2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color w:val="000000"/>
                <w:sz w:val="24"/>
                <w:szCs w:val="24"/>
                <w:lang w:val="en-US"/>
              </w:rPr>
            </w:pPr>
            <w:r>
              <w:rPr>
                <w:b/>
                <w:color w:val="000000"/>
                <w:sz w:val="24"/>
                <w:szCs w:val="24"/>
                <w:lang w:val="en-US"/>
              </w:rPr>
              <w:t>R14</w:t>
            </w:r>
          </w:p>
          <w:p>
            <w:pPr>
              <w:pStyle w:val="Heading1"/>
              <w:shd w:fill="FFFFFF" w:val="clear"/>
              <w:spacing w:before="0" w:after="90"/>
              <w:jc w:val="center"/>
              <w:rPr>
                <w:rFonts w:ascii="Calibri" w:hAnsi="Calibri" w:cs="Calibri"/>
                <w:bCs w:val="false"/>
                <w:color w:val="000000"/>
                <w:sz w:val="24"/>
                <w:szCs w:val="24"/>
              </w:rPr>
            </w:pPr>
            <w:r>
              <w:rPr>
                <w:rStyle w:val="Inplace"/>
                <w:rFonts w:cs="Calibri" w:ascii="Calibri" w:hAnsi="Calibri"/>
                <w:bCs/>
                <w:color w:val="000000"/>
                <w:sz w:val="24"/>
                <w:szCs w:val="24"/>
              </w:rPr>
              <w:t>R14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cs="Calibri"/>
                <w:b/>
                <w:b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cs="Calibri"/>
                <w:b/>
                <w:bCs/>
                <w:color w:val="000000"/>
                <w:sz w:val="24"/>
                <w:szCs w:val="24"/>
                <w:lang w:val="en-US"/>
              </w:rPr>
            </w:r>
          </w:p>
        </w:tc>
        <w:tc>
          <w:tcPr>
            <w:tcW w:w="26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color w:val="000000"/>
                <w:sz w:val="24"/>
                <w:szCs w:val="24"/>
                <w:lang w:val="en-US"/>
              </w:rPr>
            </w:pPr>
            <w:r>
              <w:rPr>
                <w:b/>
                <w:color w:val="000000"/>
                <w:sz w:val="24"/>
                <w:szCs w:val="24"/>
                <w:lang w:val="en-US"/>
              </w:rPr>
              <w:t>185/55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color w:val="000000"/>
                <w:sz w:val="24"/>
                <w:szCs w:val="24"/>
                <w:lang w:val="en-US"/>
              </w:rPr>
            </w:pPr>
            <w:r>
              <w:rPr>
                <w:rStyle w:val="Inplace"/>
                <w:b/>
                <w:bCs/>
                <w:color w:val="000000"/>
                <w:sz w:val="24"/>
                <w:szCs w:val="24"/>
              </w:rPr>
              <w:t>185/60</w:t>
            </w:r>
          </w:p>
        </w:tc>
      </w:tr>
      <w:tr>
        <w:trPr>
          <w:trHeight w:val="1200" w:hRule="atLeast"/>
        </w:trPr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jc w:val="center"/>
              <w:rPr>
                <w:b/>
                <w:b/>
                <w:color w:val="000000"/>
                <w:sz w:val="28"/>
                <w:szCs w:val="28"/>
                <w:lang w:val="en-US"/>
              </w:rPr>
            </w:pPr>
            <w:r>
              <w:rPr>
                <w:b/>
                <w:color w:val="000000"/>
                <w:sz w:val="28"/>
                <w:szCs w:val="28"/>
                <w:lang w:val="en-US"/>
              </w:rPr>
            </w:r>
          </w:p>
          <w:p>
            <w:pPr>
              <w:pStyle w:val="Normal"/>
              <w:autoSpaceDE w:val="false"/>
              <w:spacing w:lineRule="auto" w:line="240" w:before="0" w:after="0"/>
              <w:jc w:val="center"/>
              <w:rPr>
                <w:b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«Волга»,</w:t>
            </w:r>
          </w:p>
          <w:p>
            <w:pPr>
              <w:pStyle w:val="Normal"/>
              <w:autoSpaceDE w:val="false"/>
              <w:spacing w:lineRule="auto" w:line="240" w:before="0" w:after="0"/>
              <w:jc w:val="center"/>
              <w:rPr>
                <w:b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«Волга 406»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Любая дорожная с индексом «Е», «</w:t>
            </w:r>
            <w:r>
              <w:rPr>
                <w:b/>
                <w:sz w:val="24"/>
                <w:szCs w:val="24"/>
                <w:lang w:val="en-US"/>
              </w:rPr>
              <w:t>DOT</w:t>
            </w:r>
            <w:r>
              <w:rPr>
                <w:b/>
                <w:sz w:val="24"/>
                <w:szCs w:val="24"/>
              </w:rPr>
              <w:t>», «РСТ»</w:t>
            </w:r>
          </w:p>
        </w:tc>
        <w:tc>
          <w:tcPr>
            <w:tcW w:w="2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R14</w:t>
            </w:r>
          </w:p>
        </w:tc>
        <w:tc>
          <w:tcPr>
            <w:tcW w:w="26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205/70</w:t>
            </w:r>
          </w:p>
        </w:tc>
      </w:tr>
      <w:tr>
        <w:trPr>
          <w:trHeight w:val="915" w:hRule="atLeast"/>
        </w:trPr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jc w:val="center"/>
              <w:rPr>
                <w:b/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</w:r>
          </w:p>
          <w:p>
            <w:pPr>
              <w:pStyle w:val="Normal"/>
              <w:autoSpaceDE w:val="false"/>
              <w:spacing w:lineRule="auto" w:line="240" w:before="0" w:after="0"/>
              <w:jc w:val="center"/>
              <w:rPr>
                <w:b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«Юниор»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Yokohama</w:t>
            </w: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  <w:lang w:val="en-US"/>
              </w:rPr>
              <w:t>AE50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Yokohama AE50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24"/>
                <w:szCs w:val="24"/>
                <w:lang w:val="en-US"/>
              </w:rPr>
            </w:pPr>
            <w:r>
              <w:rPr>
                <w:b/>
                <w:color w:val="000000"/>
                <w:sz w:val="24"/>
                <w:szCs w:val="24"/>
                <w:shd w:fill="FFFFFF" w:val="clear"/>
                <w:lang w:val="en-US"/>
              </w:rPr>
              <w:t>Cordiant Sport 2</w:t>
            </w:r>
            <w:r>
              <w:rPr>
                <w:b/>
                <w:color w:val="000000"/>
                <w:sz w:val="24"/>
                <w:szCs w:val="24"/>
                <w:lang w:val="en-US"/>
              </w:rPr>
              <w:br/>
            </w:r>
            <w:r>
              <w:rPr>
                <w:b/>
                <w:color w:val="000000"/>
                <w:sz w:val="24"/>
                <w:szCs w:val="24"/>
                <w:shd w:fill="FFFFFF" w:val="clear"/>
                <w:lang w:val="en-US"/>
              </w:rPr>
              <w:t xml:space="preserve"> Nordman SX2</w:t>
            </w:r>
          </w:p>
        </w:tc>
        <w:tc>
          <w:tcPr>
            <w:tcW w:w="2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en-US"/>
              </w:rPr>
              <w:t>R14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en-US"/>
              </w:rPr>
              <w:t>R15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R14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en-US"/>
              </w:rPr>
              <w:t>R14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185/60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en-US"/>
              </w:rPr>
              <w:t>195/50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en-US"/>
              </w:rPr>
              <w:t>185/60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en-US"/>
              </w:rPr>
              <w:t>185/60</w:t>
            </w:r>
          </w:p>
        </w:tc>
      </w:tr>
      <w:tr>
        <w:trPr>
          <w:trHeight w:val="915" w:hRule="atLeast"/>
        </w:trPr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autoSpaceDE w:val="false"/>
              <w:spacing w:lineRule="auto" w:line="240" w:before="0" w:after="0"/>
              <w:jc w:val="center"/>
              <w:rPr>
                <w:b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«Лада»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Любая дорожная с индексом «Е», «</w:t>
            </w:r>
            <w:r>
              <w:rPr>
                <w:b/>
                <w:sz w:val="24"/>
                <w:szCs w:val="24"/>
                <w:lang w:val="en-US"/>
              </w:rPr>
              <w:t>DOT</w:t>
            </w:r>
            <w:r>
              <w:rPr>
                <w:b/>
                <w:sz w:val="24"/>
                <w:szCs w:val="24"/>
              </w:rPr>
              <w:t>», «РСТ»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Yokohama A 048</w:t>
            </w:r>
          </w:p>
          <w:p>
            <w:pPr>
              <w:pStyle w:val="Heading1"/>
              <w:shd w:fill="FFFFFF" w:val="clear"/>
              <w:spacing w:before="0" w:after="90"/>
              <w:jc w:val="center"/>
              <w:rPr>
                <w:rFonts w:ascii="Calibri" w:hAnsi="Calibri" w:cs="Calibri"/>
                <w:bCs w:val="false"/>
                <w:color w:val="000000"/>
                <w:sz w:val="24"/>
                <w:szCs w:val="24"/>
              </w:rPr>
            </w:pPr>
            <w:r>
              <w:rPr>
                <w:rStyle w:val="Inplace"/>
                <w:rFonts w:cs="Calibri" w:ascii="Calibri" w:hAnsi="Calibri"/>
                <w:bCs/>
                <w:color w:val="000000"/>
                <w:sz w:val="24"/>
                <w:szCs w:val="24"/>
              </w:rPr>
              <w:t>Toyo Proxes R888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cs="Calibri"/>
                <w:b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Calibri"/>
                <w:b/>
                <w:bCs/>
                <w:color w:val="000000"/>
                <w:sz w:val="24"/>
                <w:szCs w:val="24"/>
              </w:rPr>
            </w:r>
          </w:p>
        </w:tc>
        <w:tc>
          <w:tcPr>
            <w:tcW w:w="2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color w:val="000000"/>
                <w:sz w:val="24"/>
                <w:szCs w:val="24"/>
                <w:lang w:val="en-US"/>
              </w:rPr>
            </w:pPr>
            <w:r>
              <w:rPr>
                <w:b/>
                <w:color w:val="000000"/>
                <w:sz w:val="24"/>
                <w:szCs w:val="24"/>
                <w:lang w:val="en-US"/>
              </w:rPr>
              <w:t>R14</w:t>
            </w:r>
            <w:r>
              <w:rPr>
                <w:b/>
                <w:color w:val="000000"/>
                <w:sz w:val="24"/>
                <w:szCs w:val="24"/>
              </w:rPr>
              <w:t>,</w:t>
            </w:r>
            <w:r>
              <w:rPr>
                <w:b/>
                <w:color w:val="000000"/>
                <w:sz w:val="24"/>
                <w:szCs w:val="24"/>
                <w:lang w:val="en-US"/>
              </w:rPr>
              <w:t>R13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color w:val="000000"/>
                <w:sz w:val="24"/>
                <w:szCs w:val="24"/>
                <w:lang w:val="en-US"/>
              </w:rPr>
            </w:pPr>
            <w:r>
              <w:rPr>
                <w:b/>
                <w:color w:val="000000"/>
                <w:sz w:val="24"/>
                <w:szCs w:val="24"/>
                <w:lang w:val="en-US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color w:val="000000"/>
                <w:sz w:val="24"/>
                <w:szCs w:val="24"/>
                <w:lang w:val="en-US"/>
              </w:rPr>
            </w:pPr>
            <w:r>
              <w:rPr>
                <w:b/>
                <w:color w:val="000000"/>
                <w:sz w:val="24"/>
                <w:szCs w:val="24"/>
                <w:lang w:val="en-US"/>
              </w:rPr>
              <w:t>R14</w:t>
            </w:r>
          </w:p>
          <w:p>
            <w:pPr>
              <w:pStyle w:val="Heading1"/>
              <w:shd w:fill="FFFFFF" w:val="clear"/>
              <w:spacing w:before="0" w:after="90"/>
              <w:jc w:val="center"/>
              <w:rPr>
                <w:rFonts w:ascii="Calibri" w:hAnsi="Calibri" w:cs="Calibri"/>
                <w:bCs w:val="false"/>
                <w:color w:val="000000"/>
                <w:sz w:val="24"/>
                <w:szCs w:val="24"/>
              </w:rPr>
            </w:pPr>
            <w:r>
              <w:rPr>
                <w:rStyle w:val="Inplace"/>
                <w:rFonts w:cs="Calibri" w:ascii="Calibri" w:hAnsi="Calibri"/>
                <w:bCs/>
                <w:color w:val="000000"/>
                <w:sz w:val="24"/>
                <w:szCs w:val="24"/>
              </w:rPr>
              <w:t>R14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cs="Calibri"/>
                <w:b/>
                <w:b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cs="Calibri"/>
                <w:b/>
                <w:bCs/>
                <w:color w:val="000000"/>
                <w:sz w:val="24"/>
                <w:szCs w:val="24"/>
                <w:lang w:val="en-US"/>
              </w:rPr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color w:val="000000"/>
                <w:sz w:val="24"/>
                <w:szCs w:val="24"/>
                <w:lang w:val="en-US"/>
              </w:rPr>
            </w:pPr>
            <w:r>
              <w:rPr>
                <w:b/>
                <w:color w:val="000000"/>
                <w:sz w:val="24"/>
                <w:szCs w:val="24"/>
                <w:lang w:val="en-US"/>
              </w:rPr>
              <w:t>185/55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color w:val="000000"/>
                <w:sz w:val="24"/>
                <w:szCs w:val="24"/>
                <w:lang w:val="en-US"/>
              </w:rPr>
            </w:pPr>
            <w:r>
              <w:rPr>
                <w:b/>
                <w:color w:val="000000"/>
                <w:sz w:val="24"/>
                <w:szCs w:val="24"/>
                <w:lang w:val="en-US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color w:val="000000"/>
                <w:sz w:val="24"/>
                <w:szCs w:val="24"/>
                <w:lang w:val="en-US"/>
              </w:rPr>
            </w:pPr>
            <w:r>
              <w:rPr>
                <w:b/>
                <w:color w:val="000000"/>
                <w:sz w:val="24"/>
                <w:szCs w:val="24"/>
                <w:lang w:val="en-US"/>
              </w:rPr>
              <w:t>185/55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24"/>
                <w:szCs w:val="24"/>
                <w:lang w:val="en-US"/>
              </w:rPr>
            </w:pPr>
            <w:r>
              <w:rPr>
                <w:rStyle w:val="Inplace"/>
                <w:b/>
                <w:bCs/>
                <w:color w:val="000000"/>
                <w:sz w:val="24"/>
                <w:szCs w:val="24"/>
              </w:rPr>
              <w:t>185/60</w:t>
            </w:r>
          </w:p>
        </w:tc>
      </w:tr>
    </w:tbl>
    <w:p>
      <w:pPr>
        <w:pStyle w:val="Normal"/>
        <w:autoSpaceDE w:val="false"/>
        <w:spacing w:lineRule="auto" w:line="240" w:before="0" w:after="0"/>
        <w:rPr/>
      </w:pPr>
      <w:r>
        <w:rPr/>
      </w:r>
    </w:p>
    <w:p>
      <w:pPr>
        <w:pStyle w:val="Normal"/>
        <w:autoSpaceDE w:val="false"/>
        <w:spacing w:lineRule="auto" w:line="240" w:before="0" w:after="0"/>
        <w:rPr/>
      </w:pPr>
      <w:r>
        <w:rPr/>
      </w:r>
    </w:p>
    <w:p>
      <w:pPr>
        <w:pStyle w:val="Normal"/>
        <w:autoSpaceDE w:val="false"/>
        <w:spacing w:lineRule="auto" w:line="240" w:before="0" w:after="0"/>
        <w:rPr/>
      </w:pPr>
      <w:r>
        <w:rPr/>
      </w:r>
    </w:p>
    <w:p>
      <w:pPr>
        <w:pStyle w:val="Normal"/>
        <w:autoSpaceDE w:val="false"/>
        <w:spacing w:lineRule="auto" w:line="240" w:before="0" w:after="0"/>
        <w:rPr/>
      </w:pPr>
      <w:r>
        <w:rPr/>
      </w:r>
    </w:p>
    <w:p>
      <w:pPr>
        <w:pStyle w:val="Normal"/>
        <w:autoSpaceDE w:val="false"/>
        <w:spacing w:lineRule="auto" w:line="240" w:before="0" w:after="0"/>
        <w:rPr/>
      </w:pPr>
      <w:r>
        <w:rPr/>
      </w:r>
    </w:p>
    <w:p>
      <w:pPr>
        <w:pStyle w:val="Normal"/>
        <w:autoSpaceDE w:val="false"/>
        <w:spacing w:lineRule="auto" w:line="240" w:before="0" w:after="0"/>
        <w:rPr/>
      </w:pPr>
      <w:r>
        <w:rPr>
          <w:rFonts w:cs="Times New Roman" w:ascii="Times New Roman" w:hAnsi="Times New Roman"/>
          <w:b/>
          <w:sz w:val="20"/>
          <w:szCs w:val="20"/>
        </w:rPr>
        <w:t>ПРИЛОЖЕНИЕ 4</w:t>
      </w:r>
    </w:p>
    <w:p>
      <w:pPr>
        <w:pStyle w:val="Normal"/>
        <w:autoSpaceDE w:val="false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0"/>
          <w:szCs w:val="20"/>
        </w:rPr>
      </w:pPr>
      <w:r>
        <w:rPr>
          <w:rFonts w:cs="Times New Roman" w:ascii="Times New Roman" w:hAnsi="Times New Roman"/>
          <w:b/>
          <w:color w:val="000000"/>
          <w:sz w:val="24"/>
          <w:szCs w:val="24"/>
        </w:rPr>
        <w:t>Топливо.</w:t>
      </w:r>
    </w:p>
    <w:p>
      <w:pPr>
        <w:pStyle w:val="Style19"/>
        <w:rPr>
          <w:rFonts w:ascii="Calibri" w:hAnsi="Calibri" w:cs="Calibri"/>
          <w:color w:val="000000"/>
          <w:sz w:val="22"/>
          <w:szCs w:val="22"/>
        </w:rPr>
      </w:pPr>
      <w:r>
        <w:rPr>
          <w:rFonts w:cs="Calibri" w:ascii="Calibri" w:hAnsi="Calibri"/>
          <w:color w:val="000000"/>
          <w:sz w:val="22"/>
          <w:szCs w:val="22"/>
        </w:rPr>
        <w:t xml:space="preserve">Во всех зачётных группах в качестве топлива должен использоваться товарный неэтилированный бензин с октановым числом, определенным исследовательским методом, не выше 102 . </w:t>
      </w:r>
    </w:p>
    <w:p>
      <w:pPr>
        <w:pStyle w:val="Style19"/>
        <w:rPr>
          <w:rFonts w:ascii="Calibri" w:hAnsi="Calibri" w:cs="Calibri"/>
          <w:color w:val="000000"/>
          <w:sz w:val="22"/>
          <w:szCs w:val="22"/>
        </w:rPr>
      </w:pPr>
      <w:r>
        <w:rPr>
          <w:rFonts w:cs="Calibri" w:ascii="Calibri" w:hAnsi="Calibri"/>
          <w:color w:val="000000"/>
          <w:sz w:val="22"/>
          <w:szCs w:val="22"/>
        </w:rPr>
        <w:t>В соревнованиях может быть предусмотрена заправка всех автомобилей единым топливом. В этом случае:</w:t>
      </w:r>
    </w:p>
    <w:p>
      <w:pPr>
        <w:pStyle w:val="Style19"/>
        <w:rPr>
          <w:rFonts w:ascii="Calibri" w:hAnsi="Calibri" w:cs="Calibri"/>
          <w:color w:val="000000"/>
          <w:sz w:val="22"/>
          <w:szCs w:val="22"/>
        </w:rPr>
      </w:pPr>
      <w:r>
        <w:rPr>
          <w:rFonts w:cs="Calibri" w:ascii="Calibri" w:hAnsi="Calibri"/>
          <w:color w:val="000000"/>
          <w:sz w:val="22"/>
          <w:szCs w:val="22"/>
        </w:rPr>
        <w:t>Качество бензина должно удостоверяться соответствующим сертификатом.</w:t>
      </w:r>
    </w:p>
    <w:p>
      <w:pPr>
        <w:pStyle w:val="Style19"/>
        <w:rPr>
          <w:rFonts w:ascii="Calibri" w:hAnsi="Calibri" w:cs="Calibri"/>
          <w:color w:val="000000"/>
          <w:sz w:val="22"/>
          <w:szCs w:val="22"/>
        </w:rPr>
      </w:pPr>
      <w:r>
        <w:rPr>
          <w:rFonts w:cs="Calibri" w:ascii="Calibri" w:hAnsi="Calibri"/>
          <w:color w:val="000000"/>
          <w:sz w:val="22"/>
          <w:szCs w:val="22"/>
        </w:rPr>
        <w:t>Контроль топлива осуществляется путем сравнительного анализа проб с образцами поставляемого бензина.</w:t>
      </w:r>
    </w:p>
    <w:p>
      <w:pPr>
        <w:pStyle w:val="Normal"/>
        <w:autoSpaceDE w:val="false"/>
        <w:spacing w:lineRule="auto" w:line="240" w:before="0" w:after="0"/>
        <w:rPr>
          <w:rFonts w:ascii="Calibri" w:hAnsi="Calibri" w:cs="Calibri"/>
          <w:color w:val="000000"/>
          <w:sz w:val="22"/>
          <w:szCs w:val="22"/>
        </w:rPr>
      </w:pPr>
      <w:r>
        <w:rPr>
          <w:rFonts w:cs="Calibri"/>
          <w:color w:val="000000"/>
          <w:sz w:val="22"/>
          <w:szCs w:val="22"/>
        </w:rPr>
      </w:r>
    </w:p>
    <w:sectPr>
      <w:headerReference w:type="default" r:id="rId7"/>
      <w:headerReference w:type="first" r:id="rId8"/>
      <w:footerReference w:type="default" r:id="rId9"/>
      <w:footerReference w:type="first" r:id="rId10"/>
      <w:type w:val="nextPage"/>
      <w:pgSz w:w="11906" w:h="16838"/>
      <w:pgMar w:left="720" w:right="720" w:gutter="0" w:header="708" w:top="764" w:footer="708" w:bottom="764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Calibri">
    <w:charset w:val="cc"/>
    <w:family w:val="swiss"/>
    <w:pitch w:val="variable"/>
  </w:font>
  <w:font w:name="Arial">
    <w:charset w:val="cc"/>
    <w:family w:val="swiss"/>
    <w:pitch w:val="variable"/>
  </w:font>
  <w:font w:name="Courier New">
    <w:charset w:val="cc"/>
    <w:family w:val="modern"/>
    <w:pitch w:val="default"/>
  </w:font>
  <w:font w:name="Wingdings">
    <w:charset w:val="02"/>
    <w:family w:val="auto"/>
    <w:pitch w:val="variable"/>
  </w:font>
  <w:font w:name="Tahoma">
    <w:charset w:val="cc"/>
    <w:family w:val="swiss"/>
    <w:pitch w:val="variable"/>
  </w:font>
  <w:font w:name="Times New Roman">
    <w:charset w:val="cc"/>
    <w:family w:val="roman"/>
    <w:pitch w:val="variable"/>
  </w:font>
  <w:font w:name="Arial-BoldItalicMT">
    <w:altName w:val="Times New Roman"/>
    <w:charset w:val="cc"/>
    <w:family w:val="swiss"/>
    <w:pitch w:val="default"/>
  </w:font>
  <w:font w:name="Cambria">
    <w:charset w:val="cc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autoSpaceDE w:val="false"/>
      <w:spacing w:lineRule="auto" w:line="240" w:before="0" w:after="0"/>
      <w:jc w:val="center"/>
      <w:rPr>
        <w:b/>
        <w:b/>
        <w:bCs/>
        <w:i/>
        <w:i/>
        <w:iCs/>
        <w:color w:val="000000"/>
        <w:sz w:val="16"/>
        <w:szCs w:val="16"/>
      </w:rPr>
    </w:pPr>
    <w:r>
      <w:rPr>
        <w:i/>
        <w:iCs/>
        <w:sz w:val="16"/>
        <w:szCs w:val="16"/>
      </w:rPr>
      <w:t xml:space="preserve">Страница </w:t>
    </w:r>
    <w:r>
      <w:rPr>
        <w:b/>
        <w:bCs/>
        <w:i/>
        <w:iCs/>
        <w:sz w:val="16"/>
        <w:szCs w:val="16"/>
      </w:rPr>
      <w:fldChar w:fldCharType="begin"/>
    </w:r>
    <w:r>
      <w:rPr>
        <w:sz w:val="16"/>
        <w:i/>
        <w:b/>
        <w:szCs w:val="16"/>
        <w:iCs/>
        <w:bCs/>
      </w:rPr>
      <w:instrText xml:space="preserve"> PAGE </w:instrText>
    </w:r>
    <w:r>
      <w:rPr>
        <w:sz w:val="16"/>
        <w:i/>
        <w:b/>
        <w:szCs w:val="16"/>
        <w:iCs/>
        <w:bCs/>
      </w:rPr>
      <w:fldChar w:fldCharType="separate"/>
    </w:r>
    <w:r>
      <w:rPr>
        <w:sz w:val="16"/>
        <w:i/>
        <w:b/>
        <w:szCs w:val="16"/>
        <w:iCs/>
        <w:bCs/>
      </w:rPr>
      <w:t>13</w:t>
    </w:r>
    <w:r>
      <w:rPr>
        <w:sz w:val="16"/>
        <w:i/>
        <w:b/>
        <w:szCs w:val="16"/>
        <w:iCs/>
        <w:bCs/>
      </w:rPr>
      <w:fldChar w:fldCharType="end"/>
    </w:r>
    <w:r>
      <w:rPr>
        <w:i/>
        <w:iCs/>
        <w:sz w:val="16"/>
        <w:szCs w:val="16"/>
      </w:rPr>
      <w:t xml:space="preserve"> из </w:t>
    </w:r>
    <w:r>
      <w:rPr>
        <w:b/>
        <w:bCs/>
        <w:i/>
        <w:iCs/>
        <w:sz w:val="16"/>
        <w:szCs w:val="16"/>
      </w:rPr>
      <w:fldChar w:fldCharType="begin"/>
    </w:r>
    <w:r>
      <w:rPr>
        <w:sz w:val="16"/>
        <w:i/>
        <w:b/>
        <w:szCs w:val="16"/>
        <w:iCs/>
        <w:bCs/>
      </w:rPr>
      <w:instrText xml:space="preserve"> NUMPAGES \* ARABIC </w:instrText>
    </w:r>
    <w:r>
      <w:rPr>
        <w:sz w:val="16"/>
        <w:i/>
        <w:b/>
        <w:szCs w:val="16"/>
        <w:iCs/>
        <w:bCs/>
      </w:rPr>
      <w:fldChar w:fldCharType="separate"/>
    </w:r>
    <w:r>
      <w:rPr>
        <w:sz w:val="16"/>
        <w:i/>
        <w:b/>
        <w:szCs w:val="16"/>
        <w:iCs/>
        <w:bCs/>
      </w:rPr>
      <w:t>13</w:t>
    </w:r>
    <w:r>
      <w:rPr>
        <w:sz w:val="16"/>
        <w:i/>
        <w:b/>
        <w:szCs w:val="16"/>
        <w:iCs/>
        <w:bCs/>
      </w:rPr>
      <w:fldChar w:fldCharType="end"/>
    </w:r>
  </w:p>
  <w:p>
    <w:pPr>
      <w:pStyle w:val="Normal"/>
      <w:autoSpaceDE w:val="false"/>
      <w:spacing w:lineRule="auto" w:line="240" w:before="0" w:after="0"/>
      <w:rPr>
        <w:rFonts w:ascii="Arial-BoldItalicMT;Times New Roman" w:hAnsi="Arial-BoldItalicMT;Times New Roman" w:cs="Arial-BoldItalicMT;Times New Roman"/>
        <w:b/>
        <w:b/>
        <w:bCs/>
        <w:i/>
        <w:i/>
        <w:iCs/>
        <w:color w:val="000000"/>
        <w:sz w:val="16"/>
        <w:szCs w:val="16"/>
      </w:rPr>
    </w:pPr>
    <w:r>
      <w:rPr>
        <w:rFonts w:cs="Arial-BoldItalicMT;Times New Roman" w:ascii="Arial-BoldItalicMT;Times New Roman" w:hAnsi="Arial-BoldItalicMT;Times New Roman"/>
        <w:b/>
        <w:bCs/>
        <w:i/>
        <w:iCs/>
        <w:color w:val="000000"/>
        <w:sz w:val="16"/>
        <w:szCs w:val="16"/>
      </w:rPr>
    </w:r>
  </w:p>
  <w:p>
    <w:pPr>
      <w:pStyle w:val="Footer"/>
      <w:rPr>
        <w:rFonts w:ascii="Arial-BoldItalicMT;Times New Roman" w:hAnsi="Arial-BoldItalicMT;Times New Roman" w:cs="Arial-BoldItalicMT;Times New Roman"/>
        <w:b/>
        <w:b/>
        <w:bCs/>
        <w:i/>
        <w:i/>
        <w:iCs/>
        <w:color w:val="000000"/>
        <w:sz w:val="16"/>
        <w:szCs w:val="16"/>
      </w:rPr>
    </w:pPr>
    <w:r>
      <w:rPr>
        <w:rFonts w:cs="Arial-BoldItalicMT;Times New Roman" w:ascii="Arial-BoldItalicMT;Times New Roman" w:hAnsi="Arial-BoldItalicMT;Times New Roman"/>
        <w:b/>
        <w:bCs/>
        <w:i/>
        <w:iCs/>
        <w:color w:val="000000"/>
        <w:sz w:val="16"/>
        <w:szCs w:val="16"/>
      </w:rPr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pBdr>
        <w:bottom w:val="thickThinSmallGap" w:sz="24" w:space="1" w:color="622423"/>
      </w:pBdr>
      <w:rPr>
        <w:rFonts w:ascii="Arial-BoldItalicMT;Times New Roman" w:hAnsi="Arial-BoldItalicMT;Times New Roman" w:cs="Arial-BoldItalicMT;Times New Roman"/>
        <w:b/>
        <w:b/>
        <w:bCs/>
        <w:i/>
        <w:i/>
        <w:iCs/>
        <w:color w:val="000000"/>
        <w:sz w:val="16"/>
        <w:szCs w:val="16"/>
      </w:rPr>
    </w:pPr>
    <w:r>
      <w:rPr>
        <w:rFonts w:cs="Arial-BoldItalicMT;Times New Roman" w:ascii="Arial-BoldItalicMT;Times New Roman" w:hAnsi="Arial-BoldItalicMT;Times New Roman"/>
        <w:b/>
        <w:bCs/>
        <w:i/>
        <w:iCs/>
        <w:color w:val="000000"/>
        <w:sz w:val="16"/>
        <w:szCs w:val="16"/>
      </w:rPr>
      <w:t xml:space="preserve">АСК «Нижегородское кольцо»                                                                              Положение  Чемпионата </w:t>
    </w:r>
  </w:p>
  <w:p>
    <w:pPr>
      <w:pStyle w:val="Header"/>
      <w:pBdr>
        <w:bottom w:val="thickThinSmallGap" w:sz="24" w:space="1" w:color="622423"/>
      </w:pBdr>
      <w:rPr>
        <w:rFonts w:ascii="Cambria" w:hAnsi="Cambria" w:cs="Cambria"/>
        <w:sz w:val="16"/>
        <w:szCs w:val="16"/>
      </w:rPr>
    </w:pPr>
    <w:r>
      <w:rPr>
        <w:rFonts w:cs="Arial-BoldItalicMT;Times New Roman" w:ascii="Arial-BoldItalicMT;Times New Roman" w:hAnsi="Arial-BoldItalicMT;Times New Roman"/>
        <w:b/>
        <w:bCs/>
        <w:i/>
        <w:iCs/>
        <w:color w:val="000000"/>
        <w:sz w:val="16"/>
        <w:szCs w:val="16"/>
      </w:rPr>
      <w:t>РФСОО «ФРАМСНО»                                                                                                                                                 Нижегородской области 2021 года по АКГ</w:t>
    </w:r>
  </w:p>
  <w:p>
    <w:pPr>
      <w:pStyle w:val="Header"/>
      <w:rPr>
        <w:rFonts w:ascii="Cambria" w:hAnsi="Cambria" w:cs="Cambria"/>
        <w:sz w:val="16"/>
        <w:szCs w:val="16"/>
      </w:rPr>
    </w:pPr>
    <w:r>
      <w:rPr>
        <w:rFonts w:cs="Cambria" w:ascii="Cambria" w:hAnsi="Cambria"/>
        <w:sz w:val="16"/>
        <w:szCs w:val="16"/>
      </w:rPr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Heading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2"/>
      <w:numFmt w:val="decimal"/>
      <w:lvlText w:val="%1"/>
      <w:lvlJc w:val="left"/>
      <w:pPr>
        <w:tabs>
          <w:tab w:val="num" w:pos="0"/>
        </w:tabs>
        <w:ind w:left="360" w:hanging="360"/>
      </w:pPr>
      <w:rPr/>
    </w:lvl>
    <w:lvl w:ilvl="1">
      <w:start w:val="3"/>
      <w:numFmt w:val="decimal"/>
      <w:lvlText w:val="%1.%2"/>
      <w:lvlJc w:val="left"/>
      <w:pPr>
        <w:tabs>
          <w:tab w:val="num" w:pos="0"/>
        </w:tabs>
        <w:ind w:left="720" w:hanging="360"/>
      </w:pPr>
      <w:rPr/>
    </w:lvl>
    <w:lvl w:ilvl="2">
      <w:start w:val="1"/>
      <w:numFmt w:val="decimal"/>
      <w:lvlText w:val="%1.%2.%3"/>
      <w:lvlJc w:val="left"/>
      <w:pPr>
        <w:tabs>
          <w:tab w:val="num" w:pos="0"/>
        </w:tabs>
        <w:ind w:left="1440" w:hanging="720"/>
      </w:pPr>
      <w:rPr/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800" w:hanging="720"/>
      </w:pPr>
      <w:rPr/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2520" w:hanging="1080"/>
      </w:pPr>
      <w:rPr/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2880" w:hanging="1080"/>
      </w:pPr>
      <w:rPr/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3600" w:hanging="1440"/>
      </w:pPr>
      <w:rPr/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3960" w:hanging="1440"/>
      </w:pPr>
      <w:rPr/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4680" w:hanging="1800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644" w:hanging="360"/>
      </w:pPr>
      <w:rPr/>
    </w:lvl>
  </w:abstractNum>
  <w:abstractNum w:abstractNumId="4">
    <w:lvl w:ilvl="0">
      <w:start w:val="2"/>
      <w:numFmt w:val="decimal"/>
      <w:lvlText w:val="%1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"/>
      <w:lvlJc w:val="left"/>
      <w:pPr>
        <w:tabs>
          <w:tab w:val="num" w:pos="0"/>
        </w:tabs>
        <w:ind w:left="360" w:hanging="360"/>
      </w:pPr>
      <w:rPr>
        <w:b w:val="false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/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720" w:hanging="720"/>
      </w:pPr>
      <w:rPr/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  <w:rPr/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080" w:hanging="1080"/>
      </w:pPr>
      <w:rPr/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  <w:rPr/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  <w:rPr/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800" w:hanging="1800"/>
      </w:pPr>
      <w:rPr/>
    </w:lvl>
  </w:abstractNum>
  <w:abstractNum w:abstractNumId="5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lvlText w:val="%1.%2."/>
      <w:lvlJc w:val="left"/>
      <w:pPr>
        <w:tabs>
          <w:tab w:val="num" w:pos="562"/>
        </w:tabs>
        <w:ind w:left="562" w:hanging="420"/>
      </w:pPr>
      <w:rPr>
        <w:b/>
        <w:rFonts w:eastAsia="Arial-BoldMT;MS Mincho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b/>
        <w:rFonts w:eastAsia="Arial-BoldMT;MS Mincho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720"/>
      </w:pPr>
      <w:rPr>
        <w:b/>
        <w:rFonts w:eastAsia="Arial-BoldMT;MS Mincho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080"/>
      </w:pPr>
      <w:rPr>
        <w:b/>
        <w:rFonts w:eastAsia="Arial-BoldMT;MS Mincho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080"/>
      </w:pPr>
      <w:rPr>
        <w:b/>
        <w:rFonts w:eastAsia="Arial-BoldMT;MS Mincho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440"/>
      </w:pPr>
      <w:rPr>
        <w:b/>
        <w:rFonts w:eastAsia="Arial-BoldMT;MS Mincho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440"/>
      </w:pPr>
      <w:rPr>
        <w:b/>
        <w:rFonts w:eastAsia="Arial-BoldMT;MS Mincho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1800"/>
      </w:pPr>
      <w:rPr>
        <w:b/>
        <w:rFonts w:eastAsia="Arial-BoldMT;MS Mincho"/>
      </w:rPr>
    </w:lvl>
  </w:abstractNum>
  <w:abstractNum w:abstractNumId="7">
    <w:lvl w:ilvl="0">
      <w:start w:val="1"/>
      <w:numFmt w:val="decimal"/>
      <w:lvlText w:val="%1."/>
      <w:lvlJc w:val="left"/>
      <w:pPr>
        <w:tabs>
          <w:tab w:val="num" w:pos="0"/>
        </w:tabs>
        <w:ind w:left="644" w:hanging="360"/>
      </w:pPr>
      <w:rPr/>
    </w:lvl>
  </w:abstractNum>
  <w:abstractNum w:abstractNumId="8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lvlText w:val="%1.%2."/>
      <w:lvlJc w:val="left"/>
      <w:pPr>
        <w:tabs>
          <w:tab w:val="num" w:pos="562"/>
        </w:tabs>
        <w:ind w:left="562" w:hanging="420"/>
      </w:pPr>
      <w:rPr>
        <w:b/>
        <w:rFonts w:eastAsia="Arial-BoldMT;MS Mincho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b/>
        <w:rFonts w:eastAsia="Arial-BoldMT;MS Mincho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720"/>
      </w:pPr>
      <w:rPr>
        <w:b/>
        <w:rFonts w:eastAsia="Arial-BoldMT;MS Mincho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080"/>
      </w:pPr>
      <w:rPr>
        <w:b/>
        <w:rFonts w:eastAsia="Arial-BoldMT;MS Mincho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080"/>
      </w:pPr>
      <w:rPr>
        <w:b/>
        <w:rFonts w:eastAsia="Arial-BoldMT;MS Mincho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440"/>
      </w:pPr>
      <w:rPr>
        <w:b/>
        <w:rFonts w:eastAsia="Arial-BoldMT;MS Mincho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440"/>
      </w:pPr>
      <w:rPr>
        <w:b/>
        <w:rFonts w:eastAsia="Arial-BoldMT;MS Mincho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1800"/>
      </w:pPr>
      <w:rPr>
        <w:b/>
        <w:rFonts w:eastAsia="Arial-BoldMT;MS Mincho"/>
      </w:rPr>
    </w:lvl>
  </w:abstractNum>
  <w:abstractNum w:abstractNumId="9">
    <w:lvl w:ilvl="0">
      <w:start w:val="15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10">
    <w:lvl w:ilvl="0">
      <w:start w:val="1"/>
      <w:numFmt w:val="decimal"/>
      <w:lvlText w:val="%1."/>
      <w:lvlJc w:val="left"/>
      <w:pPr>
        <w:tabs>
          <w:tab w:val="num" w:pos="0"/>
        </w:tabs>
        <w:ind w:left="786" w:hanging="36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DejaVu Sans" w:cs="DejaVu Sans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  <w:spacing w:lineRule="auto" w:line="276" w:before="0" w:after="200"/>
    </w:pPr>
    <w:rPr>
      <w:rFonts w:ascii="Calibri" w:hAnsi="Calibri" w:eastAsia="Calibri" w:cs="Calibri"/>
      <w:color w:val="auto"/>
      <w:sz w:val="22"/>
      <w:szCs w:val="22"/>
      <w:lang w:val="ru-RU" w:bidi="ar-SA" w:eastAsia="zh-CN"/>
    </w:rPr>
  </w:style>
  <w:style w:type="paragraph" w:styleId="Heading1">
    <w:name w:val="Heading 1"/>
    <w:basedOn w:val="Normal"/>
    <w:next w:val="Normal"/>
    <w:qFormat/>
    <w:pPr>
      <w:keepNext w:val="true"/>
      <w:numPr>
        <w:ilvl w:val="0"/>
        <w:numId w:val="1"/>
      </w:numPr>
      <w:spacing w:lineRule="auto" w:line="240" w:before="240" w:after="60"/>
      <w:outlineLvl w:val="0"/>
    </w:pPr>
    <w:rPr>
      <w:rFonts w:ascii="Arial" w:hAnsi="Arial" w:eastAsia="Times New Roman" w:cs="Arial"/>
      <w:b/>
      <w:bCs/>
      <w:kern w:val="2"/>
      <w:sz w:val="32"/>
      <w:szCs w:val="32"/>
    </w:rPr>
  </w:style>
  <w:style w:type="character" w:styleId="WW8Num5z0">
    <w:name w:val="WW8Num5z0"/>
    <w:qFormat/>
    <w:rPr>
      <w:rFonts w:ascii="Symbol" w:hAnsi="Symbol" w:cs="Symbol"/>
    </w:rPr>
  </w:style>
  <w:style w:type="character" w:styleId="WW8Num6z0">
    <w:name w:val="WW8Num6z0"/>
    <w:qFormat/>
    <w:rPr>
      <w:rFonts w:ascii="Symbol" w:hAnsi="Symbol" w:cs="Symbol"/>
    </w:rPr>
  </w:style>
  <w:style w:type="character" w:styleId="WW8Num7z0">
    <w:name w:val="WW8Num7z0"/>
    <w:qFormat/>
    <w:rPr>
      <w:rFonts w:ascii="Symbol" w:hAnsi="Symbol" w:cs="Symbol"/>
    </w:rPr>
  </w:style>
  <w:style w:type="character" w:styleId="WW8Num8z0">
    <w:name w:val="WW8Num8z0"/>
    <w:qFormat/>
    <w:rPr>
      <w:rFonts w:ascii="Symbol" w:hAnsi="Symbol" w:cs="Symbol"/>
    </w:rPr>
  </w:style>
  <w:style w:type="character" w:styleId="WW8Num10z0">
    <w:name w:val="WW8Num10z0"/>
    <w:qFormat/>
    <w:rPr>
      <w:rFonts w:ascii="Symbol" w:hAnsi="Symbol" w:cs="Symbol"/>
    </w:rPr>
  </w:style>
  <w:style w:type="character" w:styleId="WW8Num11z0">
    <w:name w:val="WW8Num11z0"/>
    <w:qFormat/>
    <w:rPr/>
  </w:style>
  <w:style w:type="character" w:styleId="WW8Num12z0">
    <w:name w:val="WW8Num12z0"/>
    <w:qFormat/>
    <w:rPr>
      <w:rFonts w:ascii="Symbol" w:hAnsi="Symbol" w:cs="Symbol"/>
    </w:rPr>
  </w:style>
  <w:style w:type="character" w:styleId="WW8Num12z1">
    <w:name w:val="WW8Num12z1"/>
    <w:qFormat/>
    <w:rPr>
      <w:rFonts w:ascii="Courier New" w:hAnsi="Courier New" w:cs="Courier New"/>
    </w:rPr>
  </w:style>
  <w:style w:type="character" w:styleId="WW8Num12z2">
    <w:name w:val="WW8Num12z2"/>
    <w:qFormat/>
    <w:rPr>
      <w:rFonts w:ascii="Wingdings" w:hAnsi="Wingdings" w:cs="Wingdings"/>
    </w:rPr>
  </w:style>
  <w:style w:type="character" w:styleId="WW8Num13z0">
    <w:name w:val="WW8Num13z0"/>
    <w:qFormat/>
    <w:rPr/>
  </w:style>
  <w:style w:type="character" w:styleId="WW8Num14z0">
    <w:name w:val="WW8Num14z0"/>
    <w:qFormat/>
    <w:rPr/>
  </w:style>
  <w:style w:type="character" w:styleId="WW8Num14z1">
    <w:name w:val="WW8Num14z1"/>
    <w:qFormat/>
    <w:rPr>
      <w:rFonts w:eastAsia="Arial-BoldMT;MS Mincho"/>
      <w:b/>
    </w:rPr>
  </w:style>
  <w:style w:type="character" w:styleId="WW8Num15z0">
    <w:name w:val="WW8Num15z0"/>
    <w:qFormat/>
    <w:rPr/>
  </w:style>
  <w:style w:type="character" w:styleId="WW8Num15z1">
    <w:name w:val="WW8Num15z1"/>
    <w:qFormat/>
    <w:rPr>
      <w:b w:val="false"/>
    </w:rPr>
  </w:style>
  <w:style w:type="character" w:styleId="WW8Num16z0">
    <w:name w:val="WW8Num16z0"/>
    <w:qFormat/>
    <w:rPr>
      <w:rFonts w:ascii="Symbol" w:hAnsi="Symbol" w:cs="Symbol"/>
    </w:rPr>
  </w:style>
  <w:style w:type="character" w:styleId="WW8Num16z1">
    <w:name w:val="WW8Num16z1"/>
    <w:qFormat/>
    <w:rPr>
      <w:rFonts w:ascii="Courier New" w:hAnsi="Courier New" w:cs="Courier New"/>
    </w:rPr>
  </w:style>
  <w:style w:type="character" w:styleId="WW8Num16z2">
    <w:name w:val="WW8Num16z2"/>
    <w:qFormat/>
    <w:rPr>
      <w:rFonts w:ascii="Wingdings" w:hAnsi="Wingdings" w:cs="Wingdings"/>
    </w:rPr>
  </w:style>
  <w:style w:type="character" w:styleId="WW8Num17z0">
    <w:name w:val="WW8Num17z0"/>
    <w:qFormat/>
    <w:rPr/>
  </w:style>
  <w:style w:type="character" w:styleId="WW8Num17z1">
    <w:name w:val="WW8Num17z1"/>
    <w:qFormat/>
    <w:rPr>
      <w:rFonts w:eastAsia="Arial-BoldMT;MS Mincho"/>
      <w:b/>
    </w:rPr>
  </w:style>
  <w:style w:type="character" w:styleId="WW8Num18z0">
    <w:name w:val="WW8Num18z0"/>
    <w:qFormat/>
    <w:rPr/>
  </w:style>
  <w:style w:type="character" w:styleId="WW8Num18z1">
    <w:name w:val="WW8Num18z1"/>
    <w:qFormat/>
    <w:rPr>
      <w:rFonts w:eastAsia="Arial-BoldMT;MS Mincho"/>
      <w:b/>
    </w:rPr>
  </w:style>
  <w:style w:type="character" w:styleId="WW8Num19z0">
    <w:name w:val="WW8Num19z0"/>
    <w:qFormat/>
    <w:rPr/>
  </w:style>
  <w:style w:type="character" w:styleId="WW8Num20z0">
    <w:name w:val="WW8Num20z0"/>
    <w:qFormat/>
    <w:rPr/>
  </w:style>
  <w:style w:type="character" w:styleId="WW8Num21z0">
    <w:name w:val="WW8Num21z0"/>
    <w:qFormat/>
    <w:rPr>
      <w:rFonts w:ascii="Symbol" w:hAnsi="Symbol" w:cs="Symbol"/>
    </w:rPr>
  </w:style>
  <w:style w:type="character" w:styleId="WW8Num21z1">
    <w:name w:val="WW8Num21z1"/>
    <w:qFormat/>
    <w:rPr>
      <w:rFonts w:ascii="Courier New" w:hAnsi="Courier New" w:cs="Courier New"/>
    </w:rPr>
  </w:style>
  <w:style w:type="character" w:styleId="WW8Num21z2">
    <w:name w:val="WW8Num21z2"/>
    <w:qFormat/>
    <w:rPr>
      <w:rFonts w:ascii="Wingdings" w:hAnsi="Wingdings" w:cs="Wingdings"/>
    </w:rPr>
  </w:style>
  <w:style w:type="character" w:styleId="WW8Num22z0">
    <w:name w:val="WW8Num22z0"/>
    <w:qFormat/>
    <w:rPr/>
  </w:style>
  <w:style w:type="character" w:styleId="WW8Num22z1">
    <w:name w:val="WW8Num22z1"/>
    <w:qFormat/>
    <w:rPr>
      <w:rFonts w:eastAsia="Arial-BoldMT;MS Mincho"/>
      <w:b/>
    </w:rPr>
  </w:style>
  <w:style w:type="character" w:styleId="WW8Num23z0">
    <w:name w:val="WW8Num23z0"/>
    <w:qFormat/>
    <w:rPr/>
  </w:style>
  <w:style w:type="character" w:styleId="WW8Num24z0">
    <w:name w:val="WW8Num24z0"/>
    <w:qFormat/>
    <w:rPr/>
  </w:style>
  <w:style w:type="character" w:styleId="WW8Num24z1">
    <w:name w:val="WW8Num24z1"/>
    <w:qFormat/>
    <w:rPr>
      <w:rFonts w:eastAsia="Arial-BoldMT;MS Mincho"/>
      <w:b/>
    </w:rPr>
  </w:style>
  <w:style w:type="character" w:styleId="WW8Num25z0">
    <w:name w:val="WW8Num25z0"/>
    <w:qFormat/>
    <w:rPr/>
  </w:style>
  <w:style w:type="character" w:styleId="WW8Num26z0">
    <w:name w:val="WW8Num26z0"/>
    <w:qFormat/>
    <w:rPr/>
  </w:style>
  <w:style w:type="character" w:styleId="WW8Num26z1">
    <w:name w:val="WW8Num26z1"/>
    <w:qFormat/>
    <w:rPr>
      <w:rFonts w:eastAsia="Arial-BoldMT;MS Mincho"/>
      <w:b/>
    </w:rPr>
  </w:style>
  <w:style w:type="character" w:styleId="WW8Num27z0">
    <w:name w:val="WW8Num27z0"/>
    <w:qFormat/>
    <w:rPr>
      <w:rFonts w:ascii="Symbol" w:hAnsi="Symbol" w:eastAsia="Calibri" w:cs="Times New Roman"/>
    </w:rPr>
  </w:style>
  <w:style w:type="character" w:styleId="WW8Num27z1">
    <w:name w:val="WW8Num27z1"/>
    <w:qFormat/>
    <w:rPr>
      <w:rFonts w:ascii="Courier New" w:hAnsi="Courier New" w:cs="Courier New"/>
    </w:rPr>
  </w:style>
  <w:style w:type="character" w:styleId="WW8Num27z2">
    <w:name w:val="WW8Num27z2"/>
    <w:qFormat/>
    <w:rPr>
      <w:rFonts w:ascii="Wingdings" w:hAnsi="Wingdings" w:cs="Wingdings"/>
    </w:rPr>
  </w:style>
  <w:style w:type="character" w:styleId="WW8Num27z3">
    <w:name w:val="WW8Num27z3"/>
    <w:qFormat/>
    <w:rPr>
      <w:rFonts w:ascii="Symbol" w:hAnsi="Symbol" w:cs="Symbol"/>
    </w:rPr>
  </w:style>
  <w:style w:type="character" w:styleId="WW8Num28z0">
    <w:name w:val="WW8Num28z0"/>
    <w:qFormat/>
    <w:rPr/>
  </w:style>
  <w:style w:type="character" w:styleId="WW8Num29z0">
    <w:name w:val="WW8Num29z0"/>
    <w:qFormat/>
    <w:rPr/>
  </w:style>
  <w:style w:type="character" w:styleId="Style13">
    <w:name w:val="Основной шрифт абзаца"/>
    <w:qFormat/>
    <w:rPr/>
  </w:style>
  <w:style w:type="character" w:styleId="Style14">
    <w:name w:val="Верхний колонтитул Знак"/>
    <w:qFormat/>
    <w:rPr>
      <w:rFonts w:cs="Times New Roman"/>
    </w:rPr>
  </w:style>
  <w:style w:type="character" w:styleId="Style15">
    <w:name w:val="Нижний колонтитул Знак"/>
    <w:qFormat/>
    <w:rPr>
      <w:rFonts w:cs="Times New Roman"/>
    </w:rPr>
  </w:style>
  <w:style w:type="character" w:styleId="Style16">
    <w:name w:val="Текст выноски Знак"/>
    <w:qFormat/>
    <w:rPr>
      <w:rFonts w:ascii="Tahoma" w:hAnsi="Tahoma" w:cs="Times New Roman"/>
      <w:sz w:val="16"/>
    </w:rPr>
  </w:style>
  <w:style w:type="character" w:styleId="InternetLink">
    <w:name w:val="Hyperlink"/>
    <w:rPr>
      <w:rFonts w:cs="Times New Roman"/>
      <w:color w:val="0000FF"/>
      <w:u w:val="single"/>
    </w:rPr>
  </w:style>
  <w:style w:type="character" w:styleId="Emphasis">
    <w:name w:val="Emphasis"/>
    <w:qFormat/>
    <w:rPr>
      <w:i/>
      <w:iCs/>
    </w:rPr>
  </w:style>
  <w:style w:type="character" w:styleId="1">
    <w:name w:val="Заголовок 1 Знак"/>
    <w:qFormat/>
    <w:rPr>
      <w:rFonts w:ascii="Arial" w:hAnsi="Arial" w:eastAsia="Times New Roman" w:cs="Arial"/>
      <w:b/>
      <w:bCs/>
      <w:kern w:val="2"/>
      <w:sz w:val="32"/>
      <w:szCs w:val="32"/>
    </w:rPr>
  </w:style>
  <w:style w:type="character" w:styleId="Inplace">
    <w:name w:val="inplace"/>
    <w:qFormat/>
    <w:rPr/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Arial" w:hAnsi="Arial" w:eastAsia="DejaVu Sans" w:cs="DejaVu Sans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/>
  </w:style>
  <w:style w:type="paragraph" w:styleId="HeaderandFooter">
    <w:name w:val="Header and Footer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Header">
    <w:name w:val="Header"/>
    <w:basedOn w:val="Normal"/>
    <w:pPr>
      <w:spacing w:lineRule="auto" w:line="240" w:before="0" w:after="0"/>
    </w:pPr>
    <w:rPr/>
  </w:style>
  <w:style w:type="paragraph" w:styleId="Footer">
    <w:name w:val="Footer"/>
    <w:basedOn w:val="Normal"/>
    <w:pPr>
      <w:spacing w:lineRule="auto" w:line="240" w:before="0" w:after="0"/>
    </w:pPr>
    <w:rPr/>
  </w:style>
  <w:style w:type="paragraph" w:styleId="Style17">
    <w:name w:val="Текст выноски"/>
    <w:basedOn w:val="Normal"/>
    <w:qFormat/>
    <w:pPr>
      <w:spacing w:lineRule="auto" w:line="240" w:before="0" w:after="0"/>
    </w:pPr>
    <w:rPr>
      <w:rFonts w:ascii="Tahoma" w:hAnsi="Tahoma" w:cs="Times New Roman"/>
      <w:sz w:val="16"/>
      <w:szCs w:val="16"/>
    </w:rPr>
  </w:style>
  <w:style w:type="paragraph" w:styleId="Style18">
    <w:name w:val="Без интервала"/>
    <w:qFormat/>
    <w:pPr>
      <w:widowControl/>
      <w:bidi w:val="0"/>
    </w:pPr>
    <w:rPr>
      <w:rFonts w:ascii="Calibri" w:hAnsi="Calibri" w:eastAsia="Calibri" w:cs="Calibri"/>
      <w:color w:val="auto"/>
      <w:sz w:val="22"/>
      <w:szCs w:val="22"/>
      <w:lang w:val="ru-RU" w:bidi="ar-SA" w:eastAsia="zh-CN"/>
    </w:rPr>
  </w:style>
  <w:style w:type="paragraph" w:styleId="Default">
    <w:name w:val="Default"/>
    <w:qFormat/>
    <w:pPr>
      <w:widowControl/>
      <w:autoSpaceDE w:val="false"/>
      <w:bidi w:val="0"/>
    </w:pPr>
    <w:rPr>
      <w:rFonts w:ascii="Calibri" w:hAnsi="Calibri" w:eastAsia="Calibri" w:cs="Calibri"/>
      <w:color w:val="000000"/>
      <w:sz w:val="24"/>
      <w:szCs w:val="24"/>
      <w:lang w:val="ru-RU" w:bidi="ar-SA" w:eastAsia="zh-CN"/>
    </w:rPr>
  </w:style>
  <w:style w:type="paragraph" w:styleId="Style19">
    <w:name w:val="Обычный (веб)"/>
    <w:basedOn w:val="Normal"/>
    <w:qFormat/>
    <w:pPr>
      <w:spacing w:lineRule="auto" w:line="240" w:before="280" w:after="280"/>
    </w:pPr>
    <w:rPr>
      <w:rFonts w:ascii="Times New Roman" w:hAnsi="Times New Roman" w:eastAsia="Times New Roman" w:cs="Times New Roman"/>
      <w:sz w:val="24"/>
      <w:szCs w:val="24"/>
    </w:rPr>
  </w:style>
  <w:style w:type="paragraph" w:styleId="Style20">
    <w:name w:val="Абзац списка"/>
    <w:basedOn w:val="Normal"/>
    <w:qFormat/>
    <w:pPr>
      <w:spacing w:lineRule="auto" w:line="256" w:before="0" w:after="160"/>
      <w:ind w:left="720" w:hanging="0"/>
      <w:contextualSpacing/>
    </w:pPr>
    <w:rPr>
      <w:rFonts w:cs="Times New Roman"/>
    </w:rPr>
  </w:style>
  <w:style w:type="paragraph" w:styleId="TableContents">
    <w:name w:val="Table Contents"/>
    <w:basedOn w:val="Normal"/>
    <w:qFormat/>
    <w:pPr>
      <w:widowControl w:val="false"/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  <w:style w:type="paragraph" w:styleId="FrameContents">
    <w:name w:val="Frame Contents"/>
    <w:basedOn w:val="Normal"/>
    <w:qFormat/>
    <w:pPr/>
    <w:rPr/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  <w:style w:type="numbering" w:styleId="WW8Num6">
    <w:name w:val="WW8Num6"/>
    <w:qFormat/>
  </w:style>
  <w:style w:type="numbering" w:styleId="WW8Num7">
    <w:name w:val="WW8Num7"/>
    <w:qFormat/>
  </w:style>
  <w:style w:type="numbering" w:styleId="WW8Num8">
    <w:name w:val="WW8Num8"/>
    <w:qFormat/>
  </w:style>
  <w:style w:type="numbering" w:styleId="WW8Num9">
    <w:name w:val="WW8Num9"/>
    <w:qFormat/>
  </w:style>
  <w:style w:type="numbering" w:styleId="WW8Num10">
    <w:name w:val="WW8Num10"/>
    <w:qFormat/>
  </w:style>
  <w:style w:type="numbering" w:styleId="WW8Num11">
    <w:name w:val="WW8Num11"/>
    <w:qFormat/>
  </w:style>
  <w:style w:type="numbering" w:styleId="WW8Num12">
    <w:name w:val="WW8Num12"/>
    <w:qFormat/>
  </w:style>
  <w:style w:type="numbering" w:styleId="WW8Num13">
    <w:name w:val="WW8Num13"/>
    <w:qFormat/>
  </w:style>
  <w:style w:type="numbering" w:styleId="WW8Num14">
    <w:name w:val="WW8Num14"/>
    <w:qFormat/>
  </w:style>
  <w:style w:type="numbering" w:styleId="WW8Num15">
    <w:name w:val="WW8Num15"/>
    <w:qFormat/>
  </w:style>
  <w:style w:type="numbering" w:styleId="WW8Num16">
    <w:name w:val="WW8Num16"/>
    <w:qFormat/>
  </w:style>
  <w:style w:type="numbering" w:styleId="WW8Num17">
    <w:name w:val="WW8Num17"/>
    <w:qFormat/>
  </w:style>
  <w:style w:type="numbering" w:styleId="WW8Num18">
    <w:name w:val="WW8Num18"/>
    <w:qFormat/>
  </w:style>
  <w:style w:type="numbering" w:styleId="WW8Num19">
    <w:name w:val="WW8Num19"/>
    <w:qFormat/>
  </w:style>
  <w:style w:type="numbering" w:styleId="WW8Num20">
    <w:name w:val="WW8Num20"/>
    <w:qFormat/>
  </w:style>
  <w:style w:type="numbering" w:styleId="WW8Num21">
    <w:name w:val="WW8Num21"/>
    <w:qFormat/>
  </w:style>
  <w:style w:type="numbering" w:styleId="WW8Num22">
    <w:name w:val="WW8Num22"/>
    <w:qFormat/>
  </w:style>
  <w:style w:type="numbering" w:styleId="WW8Num23">
    <w:name w:val="WW8Num23"/>
    <w:qFormat/>
  </w:style>
  <w:style w:type="numbering" w:styleId="WW8Num24">
    <w:name w:val="WW8Num24"/>
    <w:qFormat/>
  </w:style>
  <w:style w:type="numbering" w:styleId="WW8Num25">
    <w:name w:val="WW8Num25"/>
    <w:qFormat/>
  </w:style>
  <w:style w:type="numbering" w:styleId="WW8Num26">
    <w:name w:val="WW8Num26"/>
    <w:qFormat/>
  </w:style>
  <w:style w:type="numbering" w:styleId="WW8Num27">
    <w:name w:val="WW8Num27"/>
    <w:qFormat/>
  </w:style>
  <w:style w:type="numbering" w:styleId="WW8Num28">
    <w:name w:val="WW8Num28"/>
    <w:qFormat/>
  </w:style>
  <w:style w:type="numbering" w:styleId="WW8Num29">
    <w:name w:val="WW8Num29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image" Target="media/image2.jpeg"/><Relationship Id="rId4" Type="http://schemas.openxmlformats.org/officeDocument/2006/relationships/image" Target="media/image3.jpeg"/><Relationship Id="rId5" Type="http://schemas.openxmlformats.org/officeDocument/2006/relationships/hyperlink" Target="http://www.nring.ru/" TargetMode="External"/><Relationship Id="rId6" Type="http://schemas.openxmlformats.org/officeDocument/2006/relationships/hyperlink" Target="mailto:info@nring.ru" TargetMode="External"/><Relationship Id="rId7" Type="http://schemas.openxmlformats.org/officeDocument/2006/relationships/header" Target="header1.xml"/><Relationship Id="rId8" Type="http://schemas.openxmlformats.org/officeDocument/2006/relationships/header" Target="header2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numbering" Target="numbering.xml"/><Relationship Id="rId12" Type="http://schemas.openxmlformats.org/officeDocument/2006/relationships/fontTable" Target="fontTable.xml"/><Relationship Id="rId1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632</TotalTime>
  <Application>LibreOffice/7.4.6.2$Linux_X86_64 LibreOffice_project/40$Build-2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2020-02-20T16:06:00Z</dcterms:created>
  <dc:creator>Гусев Дмитрий Сергеевич</dc:creator>
  <dc:description/>
  <cp:keywords/>
  <dc:language>en-US</dc:language>
  <cp:lastModifiedBy>Гусев Дмитрий Сергеевич</cp:lastModifiedBy>
  <cp:lastPrinted>2020-07-30T12:42:00Z</cp:lastPrinted>
  <dcterms:modified xsi:type="dcterms:W3CDTF">2021-03-25T11:17:00Z</dcterms:modified>
  <cp:revision>33</cp:revision>
  <dc:subject/>
  <dc:title>Регламент NLS 2018</dc:title>
</cp:coreProperties>
</file>