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media/image2.jpeg" ContentType="image/jpeg"/>
  <Override PartName="/word/media/image3.jpeg" ContentType="image/jpeg"/>
  <Override PartName="/word/media/image1.jpeg" ContentType="image/jpeg"/>
  <Override PartName="/word/footer2.xml" ContentType="application/vnd.openxmlformats-officedocument.wordprocessingml.footer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8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Российская Автомобильная Федерация</w:t>
      </w:r>
    </w:p>
    <w:p>
      <w:pPr>
        <w:pStyle w:val="Style18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Министерство спорта Нижегородской Области</w:t>
      </w:r>
    </w:p>
    <w:p>
      <w:pPr>
        <w:pStyle w:val="Style18"/>
        <w:jc w:val="center"/>
        <w:rPr>
          <w:rFonts w:ascii="Times New Roman" w:hAnsi="Times New Roman" w:eastAsia="SimSun;宋体" w:cs="Times New Roman"/>
          <w:b/>
          <w:b/>
          <w:bCs/>
          <w:sz w:val="28"/>
          <w:szCs w:val="28"/>
        </w:rPr>
      </w:pPr>
      <w:r>
        <w:rPr>
          <w:rFonts w:eastAsia="SimSun;宋体" w:cs="Times New Roman" w:ascii="Times New Roman" w:hAnsi="Times New Roman"/>
          <w:b/>
          <w:bCs/>
          <w:sz w:val="28"/>
          <w:szCs w:val="28"/>
        </w:rPr>
        <w:t>Региональная физкультурно-спортивная общественная организация «ФРАМСНО»</w:t>
      </w:r>
    </w:p>
    <w:p>
      <w:pPr>
        <w:pStyle w:val="Style18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Автомобильный Спортивный Комплекс «Нижегородское кольцо»</w:t>
      </w:r>
    </w:p>
    <w:p>
      <w:pPr>
        <w:pStyle w:val="Style18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Style18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ind w:left="-284" w:right="-192" w:hanging="0"/>
        <w:rPr>
          <w:lang w:val="en-US" w:eastAsia="en-US"/>
        </w:rPr>
      </w:pPr>
      <w:r>
        <w:rPr>
          <w:lang w:val="en-US" w:eastAsia="en-US"/>
        </w:rPr>
        <w:drawing>
          <wp:inline distT="0" distB="0" distL="0" distR="0">
            <wp:extent cx="2370455" cy="84709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52" r="-8" b="-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455" cy="84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 w:eastAsia="en-US"/>
        </w:rPr>
        <w:t xml:space="preserve">       </w:t>
      </w:r>
      <w:r>
        <w:rPr>
          <w:lang w:val="en-US" w:eastAsia="en-US"/>
        </w:rPr>
        <w:drawing>
          <wp:inline distT="0" distB="0" distL="0" distR="0">
            <wp:extent cx="1561465" cy="1037590"/>
            <wp:effectExtent l="0" t="0" r="0" b="0"/>
            <wp:docPr id="2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21" t="-28" r="-2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103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 w:eastAsia="en-US"/>
        </w:rPr>
        <w:t xml:space="preserve">      </w:t>
      </w:r>
      <w:r>
        <w:rPr>
          <w:lang w:val="en-US" w:eastAsia="en-US"/>
        </w:rPr>
        <w:drawing>
          <wp:inline distT="0" distB="0" distL="0" distR="0">
            <wp:extent cx="2275840" cy="1113155"/>
            <wp:effectExtent l="0" t="0" r="0" b="0"/>
            <wp:docPr id="3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7" t="-16" r="-7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840" cy="111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474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3"/>
        <w:gridCol w:w="3404"/>
        <w:gridCol w:w="3597"/>
      </w:tblGrid>
      <w:tr>
        <w:trPr>
          <w:trHeight w:val="2694" w:hRule="atLeast"/>
          <w:cantSplit w:val="true"/>
        </w:trPr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УТВЕРЖДАЮ:</w:t>
            </w:r>
          </w:p>
          <w:p>
            <w:pPr>
              <w:pStyle w:val="Normal"/>
              <w:spacing w:before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Генеральный директор ООО АСК «Нижегородское кольцо»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___________Пигулевский С.В.</w:t>
            </w:r>
          </w:p>
          <w:p>
            <w:pPr>
              <w:pStyle w:val="Normal"/>
              <w:spacing w:before="0" w:after="0"/>
              <w:ind w:left="142" w:hanging="142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ind w:left="142" w:hanging="142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ind w:left="142" w:hanging="142"/>
              <w:jc w:val="center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«___»________________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left="142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СОГЛАСОВАНО:</w:t>
            </w:r>
          </w:p>
          <w:p>
            <w:pPr>
              <w:pStyle w:val="Normal"/>
              <w:spacing w:before="0" w:after="0"/>
              <w:ind w:left="142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Президент: </w:t>
            </w:r>
          </w:p>
          <w:p>
            <w:pPr>
              <w:pStyle w:val="Normal"/>
              <w:spacing w:before="0" w:after="0"/>
              <w:ind w:left="142" w:hanging="142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РФСОО «ФРАМСНО».</w:t>
            </w:r>
          </w:p>
          <w:p>
            <w:pPr>
              <w:pStyle w:val="Normal"/>
              <w:spacing w:before="0" w:after="0"/>
              <w:ind w:left="142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г. Нижний Новгород </w:t>
            </w:r>
          </w:p>
          <w:p>
            <w:pPr>
              <w:pStyle w:val="Normal"/>
              <w:spacing w:before="0" w:after="0"/>
              <w:ind w:left="142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ind w:left="142" w:hanging="142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_________Пигулевский С.В.</w:t>
            </w:r>
          </w:p>
          <w:p>
            <w:pPr>
              <w:pStyle w:val="Normal"/>
              <w:spacing w:before="0" w:after="0"/>
              <w:ind w:left="142" w:hanging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ind w:left="142" w:hanging="142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ind w:left="142" w:hanging="142"/>
              <w:jc w:val="center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«___»_______________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СОГЛАСОВАНО: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Министр спорта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Нижегородской области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ind w:left="142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______________Кононов А.А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«___»________________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2023 г.</w:t>
            </w:r>
          </w:p>
        </w:tc>
      </w:tr>
    </w:tbl>
    <w:p>
      <w:pPr>
        <w:pStyle w:val="Normal"/>
        <w:jc w:val="center"/>
        <w:rPr>
          <w:b/>
          <w:b/>
          <w:color w:val="000000"/>
          <w:sz w:val="68"/>
          <w:szCs w:val="68"/>
        </w:rPr>
      </w:pPr>
      <w:r>
        <w:rPr>
          <w:b/>
          <w:color w:val="000000"/>
          <w:sz w:val="68"/>
          <w:szCs w:val="6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000000"/>
          <w:sz w:val="56"/>
          <w:szCs w:val="56"/>
        </w:rPr>
      </w:pPr>
      <w:r>
        <w:rPr>
          <w:rFonts w:cs="Times New Roman" w:ascii="Times New Roman" w:hAnsi="Times New Roman"/>
          <w:b/>
          <w:color w:val="000000"/>
          <w:sz w:val="56"/>
          <w:szCs w:val="56"/>
        </w:rPr>
        <w:t>ПОЛОЖЕНИЕ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color w:val="800000"/>
          <w:sz w:val="44"/>
          <w:szCs w:val="44"/>
        </w:rPr>
        <w:t>Чемпионат Нижегородской области по автомобильным кольцевым гонкам.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800000"/>
          <w:sz w:val="44"/>
          <w:szCs w:val="44"/>
        </w:rPr>
      </w:pPr>
      <w:r>
        <w:rPr>
          <w:rFonts w:cs="Times New Roman" w:ascii="Times New Roman" w:hAnsi="Times New Roman"/>
          <w:b/>
          <w:color w:val="800000"/>
          <w:sz w:val="44"/>
          <w:szCs w:val="4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 виду спорта :  «Автомобильный» 166 000 55 11Я</w:t>
      </w:r>
    </w:p>
    <w:p>
      <w:pPr>
        <w:pStyle w:val="Normal"/>
        <w:rPr>
          <w:rFonts w:ascii="Times New Roman" w:hAnsi="Times New Roman" w:cs="Times New Roman"/>
          <w:b/>
          <w:b/>
          <w:sz w:val="36"/>
          <w:szCs w:val="36"/>
        </w:rPr>
      </w:pPr>
      <w:r>
        <w:rPr>
          <w:rFonts w:cs="Times New Roman" w:ascii="Times New Roman" w:hAnsi="Times New Roman"/>
          <w:b/>
          <w:sz w:val="36"/>
          <w:szCs w:val="36"/>
        </w:rPr>
      </w:r>
    </w:p>
    <w:p>
      <w:pPr>
        <w:pStyle w:val="Normal"/>
        <w:tabs>
          <w:tab w:val="clear" w:pos="708"/>
          <w:tab w:val="left" w:pos="5940" w:leader="none"/>
        </w:tabs>
        <w:rPr>
          <w:b/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Normal"/>
        <w:rPr>
          <w:sz w:val="20"/>
          <w:szCs w:val="20"/>
        </w:rPr>
      </w:pPr>
      <w:r>
        <w:rPr/>
        <w:t xml:space="preserve">                                                                                             </w:t>
      </w:r>
    </w:p>
    <w:p>
      <w:pPr>
        <w:pStyle w:val="Normal"/>
        <w:jc w:val="center"/>
        <w:rPr/>
      </w:pPr>
      <w:r>
        <w:rPr>
          <w:b/>
          <w:color w:val="000000"/>
        </w:rPr>
        <w:t>Нижний Новгород</w:t>
      </w:r>
    </w:p>
    <w:p>
      <w:pPr>
        <w:pStyle w:val="Normal"/>
        <w:jc w:val="center"/>
        <w:rPr>
          <w:b/>
          <w:b/>
          <w:color w:val="000000"/>
        </w:rPr>
      </w:pPr>
      <w:r>
        <w:rPr>
          <w:b/>
          <w:color w:val="000000"/>
        </w:rPr>
        <w:t>2023 г.</w:t>
      </w:r>
    </w:p>
    <w:p>
      <w:pPr>
        <w:pStyle w:val="Normal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/>
          <w:b/>
          <w:bCs/>
          <w:color w:val="000000"/>
          <w:sz w:val="28"/>
          <w:szCs w:val="28"/>
        </w:rPr>
      </w:pPr>
      <w:r>
        <w:rPr>
          <w:rFonts w:eastAsia="Arial-BoldMT;MS Mincho"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"/>
        <w:autoSpaceDE w:val="false"/>
        <w:spacing w:lineRule="auto" w:line="240" w:before="0" w:after="0"/>
        <w:jc w:val="center"/>
        <w:rPr>
          <w:rFonts w:ascii="Times New Roman" w:hAnsi="Times New Roman" w:eastAsia="Arial-BoldMT;MS Mincho" w:cs="Times New Roman"/>
          <w:b/>
          <w:b/>
          <w:bCs/>
          <w:sz w:val="28"/>
          <w:szCs w:val="28"/>
        </w:rPr>
      </w:pPr>
      <w:r>
        <w:rPr>
          <w:rFonts w:eastAsia="Arial-BoldMT;MS Mincho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autoSpaceDE w:val="false"/>
        <w:spacing w:lineRule="auto" w:line="240" w:before="0" w:after="0"/>
        <w:jc w:val="center"/>
        <w:rPr>
          <w:rFonts w:ascii="Times New Roman" w:hAnsi="Times New Roman" w:eastAsia="Arial-BoldMT;MS Mincho" w:cs="Times New Roman"/>
          <w:b/>
          <w:b/>
          <w:bCs/>
          <w:sz w:val="28"/>
          <w:szCs w:val="28"/>
        </w:rPr>
      </w:pPr>
      <w:r>
        <w:rPr>
          <w:rFonts w:eastAsia="Arial-BoldMT;MS Mincho" w:cs="Times New Roman" w:ascii="Times New Roman" w:hAnsi="Times New Roman"/>
          <w:b/>
          <w:bCs/>
          <w:sz w:val="28"/>
          <w:szCs w:val="28"/>
        </w:rPr>
        <w:t>ПОЛОЖЕНИЕ ЧЕМПИОНАТА НИЖЕГОРОДСКОЙ ОБЛАСТИ 2023 ГОДА ПО АВТОМОБИЛЬНЫМ КОЛЬЦЕВЫМ ГОНКАМ.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/>
          <w:b/>
          <w:bCs/>
          <w:sz w:val="20"/>
          <w:szCs w:val="20"/>
        </w:rPr>
      </w:pPr>
      <w:r>
        <w:rPr>
          <w:rFonts w:eastAsia="Arial-BoldMT;MS Mincho"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/>
          <w:b/>
          <w:bCs/>
          <w:sz w:val="20"/>
          <w:szCs w:val="20"/>
        </w:rPr>
      </w:pPr>
      <w:r>
        <w:rPr>
          <w:rFonts w:eastAsia="Arial-BoldMT;MS Mincho"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 xml:space="preserve">1. </w:t>
      </w:r>
      <w:r>
        <w:rPr>
          <w:rFonts w:cs="Times New Roman" w:ascii="Times New Roman" w:hAnsi="Times New Roman"/>
          <w:b/>
        </w:rPr>
        <w:t>ОБЩИЕ ПОЛОЖЕНИЯ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 xml:space="preserve">2. </w:t>
      </w:r>
      <w:r>
        <w:rPr>
          <w:rFonts w:cs="Times New Roman" w:ascii="Times New Roman" w:hAnsi="Times New Roman"/>
          <w:b/>
        </w:rPr>
        <w:t>РУКОВОДСТВО ПРОВЕДЕНИЕМ СПОРТИВНЫХ СОРЕВНОВАНИЙ</w:t>
      </w: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 xml:space="preserve"> 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 xml:space="preserve">3. </w:t>
      </w:r>
      <w:r>
        <w:rPr>
          <w:rFonts w:cs="Times New Roman" w:ascii="Times New Roman" w:hAnsi="Times New Roman"/>
          <w:b/>
        </w:rPr>
        <w:t>ОБЕСПЕЧЕНИЕ БЕЗОПАСНОСТИ УЧАСТНИКОВ И ЗРИТЕЛЕЙ, МЕДИЦИНСКОЕ ОБЕСПЕЧЕНИЕ, АНТИДОПИНГОВОЕ ОБЕСПЕЧЕНИЕ СПОРТИВНЫХ СОРЕВНОВАНИЙ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 xml:space="preserve">4. </w:t>
      </w:r>
      <w:r>
        <w:rPr>
          <w:rFonts w:cs="Times New Roman" w:ascii="Times New Roman" w:hAnsi="Times New Roman"/>
          <w:b/>
        </w:rPr>
        <w:t>ПРОГРАММА СОРЕВНОВАНИЙ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/>
          <w:b/>
          <w:bCs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 xml:space="preserve">5. </w:t>
      </w:r>
      <w:r>
        <w:rPr>
          <w:rFonts w:cs="Times New Roman" w:ascii="Times New Roman" w:hAnsi="Times New Roman"/>
          <w:b/>
        </w:rPr>
        <w:t>ТРЕБОВАНИЯ К УЧАСТНИКАМ И УСЛОВИЯ ИХ ДОПУСКА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 xml:space="preserve">6. </w:t>
      </w:r>
      <w:r>
        <w:rPr>
          <w:rFonts w:cs="Times New Roman" w:ascii="Times New Roman" w:hAnsi="Times New Roman"/>
          <w:b/>
        </w:rPr>
        <w:t>ЗАЯВКИ НА УЧАСТИЕ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 xml:space="preserve">7. </w:t>
      </w:r>
      <w:r>
        <w:rPr>
          <w:rFonts w:cs="Times New Roman" w:ascii="Times New Roman" w:hAnsi="Times New Roman"/>
          <w:b/>
        </w:rPr>
        <w:t>УСЛОВИЯ ПОДВЕДЕНИЯ ИТОГОВ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 xml:space="preserve">8. </w:t>
      </w:r>
      <w:r>
        <w:rPr>
          <w:rFonts w:cs="Times New Roman" w:ascii="Times New Roman" w:hAnsi="Times New Roman"/>
          <w:b/>
        </w:rPr>
        <w:t>НАГРАЖДЕНИЕ ПОБЕДИТЕЛЕЙ И ПРИЗЕРОВ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cs="Times New Roman"/>
          <w:b/>
          <w:b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 xml:space="preserve">9. </w:t>
      </w:r>
      <w:r>
        <w:rPr>
          <w:rFonts w:cs="Times New Roman" w:ascii="Times New Roman" w:hAnsi="Times New Roman"/>
          <w:b/>
        </w:rPr>
        <w:t>УСЛОВИЯ ФИНАНСИРОВАНИЯ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</w:rPr>
        <w:t>10. МЕРЫ ПО ПРЕДОТВРАЩЕНИЮ РАСПРОСТРАНЕНИЯ НОВОЙ КОРОНАВИРУСНОЙ ИНФЕКЦИИ (</w:t>
      </w:r>
      <w:r>
        <w:rPr>
          <w:rFonts w:cs="Times New Roman" w:ascii="Times New Roman" w:hAnsi="Times New Roman"/>
          <w:b/>
          <w:lang w:val="en-US"/>
        </w:rPr>
        <w:t>COVID</w:t>
      </w:r>
      <w:r>
        <w:rPr>
          <w:rFonts w:cs="Times New Roman" w:ascii="Times New Roman" w:hAnsi="Times New Roman"/>
          <w:b/>
        </w:rPr>
        <w:t>-19)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 xml:space="preserve">11. </w:t>
      </w:r>
      <w:r>
        <w:rPr>
          <w:rFonts w:cs="Times New Roman" w:ascii="Times New Roman" w:hAnsi="Times New Roman"/>
          <w:b/>
          <w:sz w:val="24"/>
          <w:szCs w:val="24"/>
        </w:rPr>
        <w:t>ДОПОЛНИТЕЛЬНЫЕУСЛОВИЯ</w:t>
      </w:r>
    </w:p>
    <w:p>
      <w:pPr>
        <w:pStyle w:val="Normal"/>
        <w:tabs>
          <w:tab w:val="clear" w:pos="708"/>
          <w:tab w:val="right" w:pos="9214" w:leader="dot"/>
        </w:tabs>
        <w:spacing w:before="60" w:after="200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tabs>
          <w:tab w:val="clear" w:pos="708"/>
          <w:tab w:val="right" w:pos="9214" w:leader="dot"/>
        </w:tabs>
        <w:spacing w:before="60" w:after="200"/>
        <w:jc w:val="center"/>
        <w:rPr>
          <w:b/>
          <w:b/>
        </w:rPr>
      </w:pPr>
      <w:r>
        <w:rPr>
          <w:b/>
          <w:lang w:val="en-US"/>
        </w:rPr>
        <w:t>I</w:t>
      </w:r>
      <w:r>
        <w:rPr>
          <w:b/>
        </w:rPr>
        <w:t xml:space="preserve">. </w:t>
      </w:r>
      <w:r>
        <w:rPr>
          <w:rFonts w:cs="Times New Roman" w:ascii="Times New Roman" w:hAnsi="Times New Roman"/>
          <w:b/>
        </w:rPr>
        <w:t>ОБЩИЕ ПОЛОЖЕНИЯ</w:t>
      </w:r>
      <w:r>
        <w:rPr>
          <w:b/>
        </w:rPr>
        <w:t>.</w:t>
      </w:r>
    </w:p>
    <w:p>
      <w:pPr>
        <w:pStyle w:val="Normal"/>
        <w:spacing w:before="0" w:after="60"/>
        <w:rPr>
          <w:b/>
          <w:b/>
          <w:color w:val="000000"/>
        </w:rPr>
      </w:pPr>
      <w:r>
        <w:rPr>
          <w:b/>
          <w:color w:val="000000"/>
        </w:rPr>
        <w:t xml:space="preserve">  </w:t>
      </w:r>
    </w:p>
    <w:p>
      <w:pPr>
        <w:pStyle w:val="Style20"/>
        <w:numPr>
          <w:ilvl w:val="0"/>
          <w:numId w:val="5"/>
        </w:numPr>
        <w:spacing w:lineRule="auto" w:line="276" w:before="0" w:after="0"/>
        <w:ind w:left="0" w:firstLine="426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Областные официальные спортивные соревнования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«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 Чемпионат Нижегородской области по автомобильным кольцевым гонкам серии NLS  2023 г.»</w:t>
      </w:r>
      <w:r>
        <w:rPr>
          <w:rFonts w:cs="Times New Roman" w:ascii="Times New Roman" w:hAnsi="Times New Roman"/>
          <w:sz w:val="24"/>
          <w:szCs w:val="24"/>
        </w:rPr>
        <w:t xml:space="preserve"> (далее - спортивные соревнования), включены в настоящее Положение на основании предложений Региональной Физкультурно-Спортивной Общественной Организации «Федерации Развития Автомобильного и Мотоциклетного Спорта Нижегородской Области (далее – РФСОО «ФРАМСНО»), аккредитованной в соответствии с приказом Министерства спорта Нижегородской области о государственной аккредитации региональной спортивной федерации от 17.11.2021 № 191.</w:t>
      </w:r>
    </w:p>
    <w:p>
      <w:pPr>
        <w:pStyle w:val="Normal"/>
        <w:tabs>
          <w:tab w:val="clear" w:pos="708"/>
          <w:tab w:val="right" w:pos="9072" w:leader="dot"/>
        </w:tabs>
        <w:jc w:val="both"/>
        <w:rPr/>
      </w:pPr>
      <w:r>
        <w:rPr>
          <w:color w:val="000000"/>
        </w:rPr>
        <w:t xml:space="preserve">     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2. </w:t>
      </w:r>
      <w:r>
        <w:rPr>
          <w:rFonts w:cs="Times New Roman" w:ascii="Times New Roman" w:hAnsi="Times New Roman"/>
          <w:sz w:val="24"/>
          <w:szCs w:val="24"/>
        </w:rPr>
        <w:t>Спортивные соревнования проводятся в соответствии с правилами вида спорта «Автомобильный», утвержденными приказом Министерства спорта Российской Федерации.</w:t>
      </w:r>
    </w:p>
    <w:p>
      <w:pPr>
        <w:pStyle w:val="Normal"/>
        <w:tabs>
          <w:tab w:val="clear" w:pos="708"/>
          <w:tab w:val="right" w:pos="9214" w:leader="dot"/>
        </w:tabs>
        <w:spacing w:before="60" w:after="2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     </w:t>
      </w:r>
    </w:p>
    <w:p>
      <w:pPr>
        <w:pStyle w:val="Normal"/>
        <w:tabs>
          <w:tab w:val="clear" w:pos="708"/>
          <w:tab w:val="right" w:pos="9214" w:leader="dot"/>
        </w:tabs>
        <w:spacing w:before="60" w:after="2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 Сроки и место проведения соревнований:</w:t>
      </w:r>
    </w:p>
    <w:p>
      <w:pPr>
        <w:pStyle w:val="Normal"/>
        <w:tabs>
          <w:tab w:val="clear" w:pos="708"/>
          <w:tab w:val="right" w:pos="9214" w:leader="dot"/>
        </w:tabs>
        <w:spacing w:before="60" w:after="200"/>
        <w:rPr>
          <w:b/>
          <w:b/>
          <w:i/>
          <w:i/>
          <w:color w:val="000080"/>
        </w:rPr>
      </w:pPr>
      <w:r>
        <w:rPr>
          <w:color w:val="000000"/>
        </w:rPr>
        <w:t xml:space="preserve"> </w:t>
      </w:r>
      <w:r>
        <w:rPr>
          <w:b/>
          <w:color w:val="000080"/>
        </w:rPr>
        <w:t xml:space="preserve">1 этап -  14 мая 2023 года, Богородский  район, трасса </w:t>
      </w:r>
      <w:r>
        <w:rPr>
          <w:b/>
          <w:i/>
          <w:color w:val="000080"/>
        </w:rPr>
        <w:t>АСК «Нижегородское кольцо»</w:t>
      </w:r>
    </w:p>
    <w:p>
      <w:pPr>
        <w:pStyle w:val="Normal"/>
        <w:tabs>
          <w:tab w:val="clear" w:pos="708"/>
          <w:tab w:val="right" w:pos="9214" w:leader="dot"/>
        </w:tabs>
        <w:spacing w:before="60" w:after="200"/>
        <w:rPr>
          <w:b/>
          <w:b/>
          <w:i/>
          <w:i/>
          <w:color w:val="000080"/>
        </w:rPr>
      </w:pPr>
      <w:r>
        <w:rPr>
          <w:b/>
          <w:color w:val="000080"/>
        </w:rPr>
        <w:t xml:space="preserve"> </w:t>
      </w:r>
      <w:r>
        <w:rPr>
          <w:b/>
          <w:color w:val="000080"/>
        </w:rPr>
        <w:t xml:space="preserve">2 этап -  2 июля 2023 года, Богородский  район, </w:t>
      </w:r>
      <w:r>
        <w:rPr>
          <w:b/>
          <w:i/>
          <w:color w:val="000080"/>
        </w:rPr>
        <w:t>трасса АСК «Нижегородское кольцо»</w:t>
      </w:r>
    </w:p>
    <w:p>
      <w:pPr>
        <w:pStyle w:val="Normal"/>
        <w:tabs>
          <w:tab w:val="clear" w:pos="708"/>
          <w:tab w:val="right" w:pos="9214" w:leader="dot"/>
        </w:tabs>
        <w:spacing w:before="60" w:after="200"/>
        <w:rPr>
          <w:b/>
          <w:b/>
          <w:i/>
          <w:i/>
          <w:color w:val="000080"/>
        </w:rPr>
      </w:pPr>
      <w:r>
        <w:rPr>
          <w:b/>
          <w:color w:val="000080"/>
        </w:rPr>
        <w:t xml:space="preserve"> </w:t>
      </w:r>
      <w:r>
        <w:rPr>
          <w:b/>
          <w:color w:val="000080"/>
        </w:rPr>
        <w:t xml:space="preserve">3 этап –  12-13 августа 2023 года, Богородский  район, </w:t>
      </w:r>
      <w:r>
        <w:rPr>
          <w:b/>
          <w:i/>
          <w:color w:val="000080"/>
        </w:rPr>
        <w:t>трасса АСК «Нижегородское кольцо»</w:t>
      </w:r>
    </w:p>
    <w:p>
      <w:pPr>
        <w:pStyle w:val="Normal"/>
        <w:tabs>
          <w:tab w:val="clear" w:pos="708"/>
          <w:tab w:val="right" w:pos="9214" w:leader="dot"/>
        </w:tabs>
        <w:spacing w:before="60" w:after="200"/>
        <w:rPr>
          <w:b/>
          <w:b/>
          <w:color w:val="000080"/>
        </w:rPr>
      </w:pPr>
      <w:r>
        <w:rPr>
          <w:b/>
          <w:color w:val="000080"/>
        </w:rPr>
        <w:t xml:space="preserve"> </w:t>
      </w:r>
      <w:r>
        <w:rPr>
          <w:b/>
          <w:color w:val="000080"/>
        </w:rPr>
        <w:t xml:space="preserve">4 этап  -  23 сентября 2023 года, Богородский  район, </w:t>
      </w:r>
      <w:r>
        <w:rPr>
          <w:b/>
          <w:i/>
          <w:color w:val="000080"/>
        </w:rPr>
        <w:t>трасса АСК «Нижегородское кольцо»</w:t>
      </w:r>
    </w:p>
    <w:p>
      <w:pPr>
        <w:pStyle w:val="Normal"/>
        <w:tabs>
          <w:tab w:val="clear" w:pos="708"/>
          <w:tab w:val="right" w:pos="9214" w:leader="dot"/>
        </w:tabs>
        <w:spacing w:before="60" w:after="200"/>
        <w:rPr>
          <w:b/>
          <w:b/>
          <w:color w:val="000080"/>
        </w:rPr>
      </w:pPr>
      <w:r>
        <w:rPr>
          <w:b/>
          <w:color w:val="000080"/>
        </w:rPr>
        <w:t xml:space="preserve"> </w:t>
      </w:r>
      <w:r>
        <w:rPr>
          <w:b/>
          <w:color w:val="000080"/>
        </w:rPr>
        <w:t xml:space="preserve">5 этап –  15 октября 2023 года, Богородский  район, </w:t>
      </w:r>
      <w:r>
        <w:rPr>
          <w:b/>
          <w:i/>
          <w:color w:val="000080"/>
        </w:rPr>
        <w:t>трасса АСК «Нижегородское кольцо»</w:t>
      </w:r>
    </w:p>
    <w:p>
      <w:pPr>
        <w:pStyle w:val="Normal"/>
        <w:tabs>
          <w:tab w:val="clear" w:pos="708"/>
          <w:tab w:val="right" w:pos="9214" w:leader="dot"/>
        </w:tabs>
        <w:spacing w:before="60" w:after="200"/>
        <w:rPr>
          <w:b/>
          <w:b/>
          <w:color w:val="000080"/>
        </w:rPr>
      </w:pPr>
      <w:r>
        <w:rPr>
          <w:b/>
          <w:color w:val="000080"/>
        </w:rPr>
      </w:r>
    </w:p>
    <w:p>
      <w:pPr>
        <w:pStyle w:val="Normal"/>
        <w:tabs>
          <w:tab w:val="clear" w:pos="708"/>
          <w:tab w:val="right" w:pos="9214" w:leader="dot"/>
        </w:tabs>
        <w:spacing w:before="60" w:after="200"/>
        <w:rPr>
          <w:b/>
          <w:b/>
          <w:color w:val="000080"/>
        </w:rPr>
      </w:pPr>
      <w:r>
        <w:rPr>
          <w:b/>
          <w:color w:val="000080"/>
        </w:rPr>
      </w:r>
    </w:p>
    <w:p>
      <w:pPr>
        <w:pStyle w:val="Normal"/>
        <w:tabs>
          <w:tab w:val="clear" w:pos="708"/>
          <w:tab w:val="right" w:pos="9214" w:leader="dot"/>
        </w:tabs>
        <w:spacing w:before="60" w:after="200"/>
        <w:rPr>
          <w:b/>
          <w:b/>
          <w:color w:val="000080"/>
        </w:rPr>
      </w:pPr>
      <w:r>
        <w:rPr>
          <w:b/>
          <w:color w:val="000080"/>
        </w:rPr>
      </w:r>
    </w:p>
    <w:p>
      <w:pPr>
        <w:pStyle w:val="Normal"/>
        <w:tabs>
          <w:tab w:val="clear" w:pos="708"/>
          <w:tab w:val="right" w:pos="9214" w:leader="dot"/>
        </w:tabs>
        <w:spacing w:before="60" w:after="200"/>
        <w:rPr>
          <w:b/>
          <w:b/>
          <w:color w:val="000080"/>
        </w:rPr>
      </w:pPr>
      <w:r>
        <w:rPr>
          <w:b/>
          <w:color w:val="000080"/>
        </w:rPr>
      </w:r>
    </w:p>
    <w:p>
      <w:pPr>
        <w:pStyle w:val="Style20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</w:t>
      </w:r>
    </w:p>
    <w:p>
      <w:pPr>
        <w:pStyle w:val="Style20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4.Задачами проведения спортивных соревнований являются:</w:t>
      </w:r>
    </w:p>
    <w:p>
      <w:pPr>
        <w:pStyle w:val="Style20"/>
        <w:spacing w:lineRule="auto" w:line="240" w:before="0" w:after="0"/>
        <w:ind w:left="567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выявление сильнейших спортсменов для формирования списка кандидатов в спортивные сборные команды Нижегородской области,</w:t>
      </w:r>
    </w:p>
    <w:p>
      <w:pPr>
        <w:pStyle w:val="Style20"/>
        <w:spacing w:lineRule="auto" w:line="240" w:before="0" w:after="0"/>
        <w:ind w:left="567" w:hanging="0"/>
        <w:contextualSpacing/>
        <w:rPr/>
      </w:pPr>
      <w:r>
        <w:rPr>
          <w:rFonts w:cs="Times New Roman" w:ascii="Times New Roman" w:hAnsi="Times New Roman"/>
          <w:sz w:val="24"/>
          <w:szCs w:val="24"/>
        </w:rPr>
        <w:t>- отбор спортсменов в спортивные сборные команды Нижегородской области для подготовки к чемпионатам  Приволжского федерального округа, чемпионатам России, Всероссийским соревнованиям и участия в них от Нижегородской области,</w:t>
      </w:r>
    </w:p>
    <w:p>
      <w:pPr>
        <w:pStyle w:val="Style20"/>
        <w:spacing w:lineRule="auto" w:line="240" w:before="0" w:after="0"/>
        <w:ind w:left="567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развитие и популяризация автомобильного спорта на территории Нижегородской области.</w:t>
      </w:r>
    </w:p>
    <w:p>
      <w:pPr>
        <w:pStyle w:val="Normal"/>
        <w:spacing w:lineRule="auto" w:line="24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 Запрещается оказывать противоправное влияние на результаты спортивных соревнований, включённых в настоящее Положение.</w:t>
      </w:r>
    </w:p>
    <w:p>
      <w:pPr>
        <w:pStyle w:val="Normal"/>
        <w:spacing w:lineRule="auto" w:line="24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Запрещается участвовать в азартных играх и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04.12.2007 г. №329 «О физической культуре и спорте в Российской Федерации».</w:t>
      </w:r>
    </w:p>
    <w:p>
      <w:pPr>
        <w:pStyle w:val="Normal"/>
        <w:spacing w:lineRule="auto" w:line="240"/>
        <w:ind w:left="36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6.Настоящее Положение является основанием для командирования спортсменов, тренеров, спортивных судей и иных специалистов в области физической культуры и спорта на спортивные соревнования.</w:t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  <w:lang w:val="en-US"/>
        </w:rPr>
        <w:t>II</w:t>
      </w:r>
      <w:r>
        <w:rPr>
          <w:rFonts w:cs="Times New Roman" w:ascii="Times New Roman" w:hAnsi="Times New Roman"/>
          <w:sz w:val="28"/>
          <w:szCs w:val="28"/>
        </w:rPr>
        <w:t>. РУКОВОДСТВО ПРОВЕДЕНИЕМ СПОРТИВНЫХ СОРЕВНОВАНИЙ.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0"/>
        <w:numPr>
          <w:ilvl w:val="1"/>
          <w:numId w:val="4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Организатором соревнования в 2023 выступает ООО АСК «Нижегородское кольцо». Общее руководство проведением спортивных соревнований осуществляется министерством спорта Нижегородской области и РФСОО «ФРАМСНО».</w:t>
      </w:r>
    </w:p>
    <w:p>
      <w:pPr>
        <w:pStyle w:val="Style20"/>
        <w:spacing w:lineRule="auto" w:line="240" w:before="0" w:after="0"/>
        <w:ind w:left="36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0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Непосредственное проведение спортивных соревнований возлагается на главную судейскую      коллегию, утверждаемую РФСОО «ФРАМСНО».</w:t>
      </w:r>
    </w:p>
    <w:p>
      <w:pPr>
        <w:pStyle w:val="Style20"/>
        <w:spacing w:lineRule="auto" w:line="240" w:before="0" w:after="0"/>
        <w:ind w:left="567" w:hanging="0"/>
        <w:contextualSpacing/>
        <w:jc w:val="both"/>
        <w:rPr>
          <w:rFonts w:ascii="Times New Roman" w:hAnsi="Times New Roman" w:cs="Times New Roman"/>
          <w:b/>
          <w:b/>
          <w:color w:val="000080"/>
          <w:sz w:val="24"/>
          <w:szCs w:val="24"/>
        </w:rPr>
      </w:pPr>
      <w:r>
        <w:rPr>
          <w:rFonts w:cs="Times New Roman" w:ascii="Times New Roman" w:hAnsi="Times New Roman"/>
          <w:b/>
          <w:color w:val="000080"/>
          <w:sz w:val="24"/>
          <w:szCs w:val="24"/>
        </w:rPr>
      </w:r>
    </w:p>
    <w:p>
      <w:pPr>
        <w:pStyle w:val="Normal"/>
        <w:tabs>
          <w:tab w:val="clear" w:pos="708"/>
          <w:tab w:val="right" w:pos="9072" w:leader="dot"/>
        </w:tabs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    </w:t>
      </w:r>
      <w:r>
        <w:rPr>
          <w:rFonts w:cs="Times New Roman" w:ascii="Times New Roman" w:hAnsi="Times New Roman"/>
          <w:color w:val="000000"/>
          <w:sz w:val="24"/>
          <w:szCs w:val="24"/>
        </w:rPr>
        <w:t>2.2  Официальные лица соревнования</w:t>
      </w:r>
    </w:p>
    <w:p>
      <w:pPr>
        <w:pStyle w:val="Normal"/>
        <w:tabs>
          <w:tab w:val="clear" w:pos="708"/>
          <w:tab w:val="right" w:pos="9072" w:leader="dot"/>
        </w:tabs>
        <w:spacing w:lineRule="auto" w:line="240" w:before="0" w:after="0"/>
        <w:ind w:firstLine="2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Пигулевский Сергей (Председатель Оргкомитета) +79202501158</w:t>
      </w:r>
    </w:p>
    <w:p>
      <w:pPr>
        <w:pStyle w:val="Normal"/>
        <w:tabs>
          <w:tab w:val="clear" w:pos="708"/>
          <w:tab w:val="right" w:pos="9072" w:leader="dot"/>
        </w:tabs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   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Гусев Дмитрий (г.Нижний Новгород ) СС 1 категории (Руководитель гонки) </w:t>
      </w:r>
    </w:p>
    <w:p>
      <w:pPr>
        <w:pStyle w:val="Normal"/>
        <w:tabs>
          <w:tab w:val="clear" w:pos="708"/>
          <w:tab w:val="right" w:pos="9072" w:leader="dot"/>
        </w:tabs>
        <w:spacing w:lineRule="auto" w:line="240" w:before="0" w:after="0"/>
        <w:ind w:firstLine="270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По назначению (Главный хронометрист Соревнования)</w:t>
      </w:r>
    </w:p>
    <w:p>
      <w:pPr>
        <w:pStyle w:val="Normal"/>
        <w:tabs>
          <w:tab w:val="clear" w:pos="708"/>
          <w:tab w:val="right" w:pos="9072" w:leader="dot"/>
        </w:tabs>
        <w:spacing w:lineRule="auto" w:line="240" w:before="0" w:after="0"/>
        <w:ind w:firstLine="2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 назначению  (Главный секретарь Соревнования)</w:t>
      </w:r>
    </w:p>
    <w:p>
      <w:pPr>
        <w:pStyle w:val="Normal"/>
        <w:tabs>
          <w:tab w:val="clear" w:pos="708"/>
          <w:tab w:val="right" w:pos="9072" w:leader="dot"/>
        </w:tabs>
        <w:spacing w:lineRule="auto" w:line="240" w:before="0" w:after="0"/>
        <w:ind w:firstLine="2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 назначению  (КСК)</w:t>
      </w:r>
    </w:p>
    <w:p>
      <w:pPr>
        <w:pStyle w:val="Normal"/>
        <w:tabs>
          <w:tab w:val="clear" w:pos="708"/>
          <w:tab w:val="right" w:pos="9072" w:leader="dot"/>
        </w:tabs>
        <w:spacing w:lineRule="auto" w:line="240" w:before="0" w:after="0"/>
        <w:ind w:firstLine="2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 назначению  (Технический комиссар)</w:t>
      </w:r>
    </w:p>
    <w:p>
      <w:pPr>
        <w:pStyle w:val="Normal"/>
        <w:tabs>
          <w:tab w:val="clear" w:pos="708"/>
          <w:tab w:val="right" w:pos="9072" w:leader="dot"/>
        </w:tabs>
        <w:spacing w:lineRule="auto" w:line="240" w:before="0" w:after="0"/>
        <w:ind w:firstLine="2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 назначению  (Главный врач Соревнования)</w:t>
      </w:r>
    </w:p>
    <w:p>
      <w:pPr>
        <w:pStyle w:val="Normal"/>
        <w:tabs>
          <w:tab w:val="clear" w:pos="708"/>
          <w:tab w:val="right" w:pos="9072" w:leader="dot"/>
        </w:tabs>
        <w:spacing w:lineRule="auto" w:line="240" w:before="0" w:after="0"/>
        <w:ind w:firstLine="2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 назначению  (Судья при участниках)</w:t>
      </w:r>
    </w:p>
    <w:p>
      <w:pPr>
        <w:pStyle w:val="Normal"/>
        <w:tabs>
          <w:tab w:val="clear" w:pos="708"/>
          <w:tab w:val="right" w:pos="9072" w:leader="dot"/>
        </w:tabs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Электронный адрес постоянного Секретариата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</w:rPr>
        <w:t>: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  <w:lang w:val="en-US"/>
        </w:rPr>
        <w:t>info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</w:rPr>
        <w:t>@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  <w:lang w:val="en-US"/>
        </w:rPr>
        <w:t>nring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</w:rPr>
        <w:t>.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  <w:lang w:val="en-US"/>
        </w:rPr>
        <w:t>ru</w:t>
      </w:r>
    </w:p>
    <w:p>
      <w:pPr>
        <w:pStyle w:val="Normal"/>
        <w:tabs>
          <w:tab w:val="clear" w:pos="708"/>
          <w:tab w:val="right" w:pos="9072" w:leader="dot"/>
        </w:tabs>
        <w:spacing w:lineRule="auto" w:line="240" w:before="0" w:after="0"/>
        <w:ind w:firstLine="2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Официальный сайт соревнования: </w:t>
      </w:r>
      <w:hyperlink r:id="rId5">
        <w:r>
          <w:rPr>
            <w:rStyle w:val="InternetLink"/>
            <w:rFonts w:cs="Times New Roman" w:ascii="Times New Roman" w:hAnsi="Times New Roman"/>
            <w:sz w:val="24"/>
            <w:szCs w:val="24"/>
          </w:rPr>
          <w:t>www.nring.ru</w:t>
        </w:r>
      </w:hyperlink>
    </w:p>
    <w:p>
      <w:pPr>
        <w:pStyle w:val="Normal"/>
        <w:tabs>
          <w:tab w:val="clear" w:pos="708"/>
          <w:tab w:val="right" w:pos="9072" w:leader="dot"/>
        </w:tabs>
        <w:spacing w:lineRule="auto" w:line="240" w:before="0" w:after="0"/>
        <w:ind w:firstLine="2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Style20"/>
        <w:numPr>
          <w:ilvl w:val="1"/>
          <w:numId w:val="2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Министерство спорта Нижегородской области и РФСОО «ФРАМСНО» определяют условия проведения спортивных соревнований, предусмотренные настоящим Положением.</w:t>
      </w:r>
    </w:p>
    <w:p>
      <w:pPr>
        <w:pStyle w:val="Style20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0"/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0"/>
        <w:spacing w:lineRule="auto" w:line="240" w:before="0" w:after="0"/>
        <w:ind w:left="36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0"/>
        <w:spacing w:lineRule="auto" w:line="240" w:before="0" w:after="0"/>
        <w:ind w:left="36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0"/>
        <w:spacing w:lineRule="auto" w:line="240" w:before="0" w:after="0"/>
        <w:ind w:left="36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0"/>
        <w:numPr>
          <w:ilvl w:val="1"/>
          <w:numId w:val="2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Нормативными документами организации и проведения соревнования являются:</w:t>
      </w:r>
    </w:p>
    <w:p>
      <w:pPr>
        <w:pStyle w:val="Style2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0"/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а) Федеральный закон от 04.12.2007 № 329-ФЗ «О физической культуре и спорте в Российской Федерации»;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б) Единая Всероссийская спортивная классификация (ЕВСК); в) Всероссийский реестр видов спорта (ВРВС); 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г) Спортивный Кодекс РАФ (СК РАФ) и приложения к нему; 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д) Правила организации и проведения соревнований по кольцевым гонкам (Правила); 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е) Настоящее положение и дополнения к нему (бюллетени, информационные письма)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ж)Классификация и Технические Требования к автомобилям, участвующим в спортивных соревнованиях (КиТТ), Технические описания зачётных групп;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з) Частные Регламенты соревнований.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426"/>
        <w:jc w:val="center"/>
        <w:rPr/>
      </w:pPr>
      <w:r>
        <w:rPr>
          <w:rFonts w:cs="Times New Roman" w:ascii="Times New Roman" w:hAnsi="Times New Roman"/>
          <w:sz w:val="28"/>
          <w:szCs w:val="28"/>
          <w:lang w:val="en-US"/>
        </w:rPr>
        <w:t>III</w:t>
      </w:r>
      <w:r>
        <w:rPr>
          <w:rFonts w:cs="Times New Roman" w:ascii="Times New Roman" w:hAnsi="Times New Roman"/>
          <w:sz w:val="28"/>
          <w:szCs w:val="28"/>
        </w:rPr>
        <w:t>. ОБЕСПЕЧЕНИЕ БЕЗОПАСНОСТИ УЧАСТНИКОВ И ЗРИТЕЛЕЙ, МЕДИЦИНСКОЕ ОБЕСПЕЧЕНИЕ, АНТИДОПИНГОВОЕ ОБЕСПЕЧЕНИЕ СПОРТИВНЫХ СОРЕВНОВАНИЙ.</w:t>
      </w:r>
    </w:p>
    <w:p>
      <w:pPr>
        <w:pStyle w:val="Normal"/>
        <w:spacing w:before="0"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0"/>
        <w:numPr>
          <w:ilvl w:val="0"/>
          <w:numId w:val="10"/>
        </w:numPr>
        <w:spacing w:lineRule="auto" w:line="276" w:before="0" w:after="0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Спортивные соревнования проводятся на объектах спорта, включенных во Всероссийский реестр объектов спорта, в соответствии с Федеральным законом от 04.12.2007 г. №329 «О физической культуре и спорте в Российской Федерации».</w:t>
      </w:r>
    </w:p>
    <w:p>
      <w:pPr>
        <w:pStyle w:val="Style20"/>
        <w:numPr>
          <w:ilvl w:val="0"/>
          <w:numId w:val="10"/>
        </w:numPr>
        <w:spacing w:lineRule="auto" w:line="276" w:before="0" w:after="0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18.04.2014 г.  № 353.</w:t>
      </w:r>
    </w:p>
    <w:p>
      <w:pPr>
        <w:pStyle w:val="Style20"/>
        <w:numPr>
          <w:ilvl w:val="0"/>
          <w:numId w:val="10"/>
        </w:numPr>
        <w:spacing w:lineRule="auto" w:line="276" w:before="0" w:after="0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Участие в спортивных соревнованиях осуществляется только при наличии полиса страхования жизни и здоровья от несчастных случаев, который представляется в комиссию по допуску участников на каждого участника спортивных соревнований.</w:t>
      </w:r>
    </w:p>
    <w:p>
      <w:pPr>
        <w:pStyle w:val="Style20"/>
        <w:numPr>
          <w:ilvl w:val="0"/>
          <w:numId w:val="10"/>
        </w:numPr>
        <w:spacing w:lineRule="auto" w:line="276" w:before="0" w:after="0"/>
        <w:ind w:left="0" w:firstLine="426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Оказание скорой медицинской помощи осуществляется в соответствии с приказом Министерства здравоохранения Российской Федерации от 23.10.2020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обороне».</w:t>
      </w:r>
    </w:p>
    <w:p>
      <w:pPr>
        <w:pStyle w:val="Style20"/>
        <w:numPr>
          <w:ilvl w:val="0"/>
          <w:numId w:val="10"/>
        </w:numPr>
        <w:spacing w:lineRule="auto" w:line="276" w:before="0" w:after="0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Основанием для допуска спортсмена к спортивным соревнованиям по медицинским заключениям является заявка на участие в спортивных соревнованиях с отметкой «допущен» напротив каждой фамилии спортсмена, заверенная подписью врача и его личной печатью. Заявка на участие в спортивных соревнованиях подписывается врачом с расшифровкой фамилии, имени, отчества и заверяется печатью медицинской организации, имеющей лицензию на осуществление медицинской деятельности.</w:t>
      </w:r>
    </w:p>
    <w:p>
      <w:pPr>
        <w:pStyle w:val="Style20"/>
        <w:numPr>
          <w:ilvl w:val="0"/>
          <w:numId w:val="10"/>
        </w:numPr>
        <w:spacing w:lineRule="auto" w:line="276" w:before="0" w:after="0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Антидопинговое обеспечение в Российской Федерации осуществляется в соответствии с Общероссийскими антидопинговыми правилами, утвержденными приказом Министерства спорта Российской Федерации от 09.08.2016 г. № 947.</w:t>
      </w:r>
    </w:p>
    <w:p>
      <w:pPr>
        <w:pStyle w:val="Normal"/>
        <w:spacing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соответствии с пунктом 10.11.1 общероссийских антидопинговых правил, ни один спортсмен или иное лицо, в отношении которого была применена дисквалификация, не имеет права во время срока дисквалификации участвовать ни в каком качестве в спортивных соревнованиях.</w:t>
      </w:r>
    </w:p>
    <w:p>
      <w:pPr>
        <w:pStyle w:val="Style20"/>
        <w:spacing w:lineRule="auto" w:line="276" w:before="0" w:after="0"/>
        <w:ind w:left="0"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0"/>
        <w:spacing w:lineRule="auto" w:line="276" w:before="0" w:after="0"/>
        <w:ind w:left="0"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0"/>
        <w:spacing w:lineRule="auto" w:line="276" w:before="0" w:after="0"/>
        <w:ind w:left="0"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>IV</w:t>
      </w:r>
      <w:r>
        <w:rPr>
          <w:rFonts w:cs="Times New Roman" w:ascii="Times New Roman" w:hAnsi="Times New Roman"/>
          <w:sz w:val="28"/>
          <w:szCs w:val="28"/>
        </w:rPr>
        <w:t>. ПРОГРАММА СОРЕВНОВАНИЙ.</w:t>
      </w:r>
    </w:p>
    <w:p>
      <w:pPr>
        <w:pStyle w:val="Normal"/>
        <w:spacing w:lineRule="auto" w:line="240" w:before="0" w:after="0"/>
        <w:ind w:left="36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8.00 – 9.00      Регистрация участников, АП, ПТИ, Медицинский контроль   (все классы) 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9.10 – 9.20      Заседание КСК, Утверждение и публикация списков допущенных участников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9.20 – 9.50      Брифинг пилотов (все классы)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10.00 – 10.20  Официальная тренировка </w:t>
      </w:r>
      <w:r>
        <w:rPr>
          <w:rFonts w:cs="Times New Roman" w:ascii="Times New Roman" w:hAnsi="Times New Roman"/>
          <w:sz w:val="24"/>
          <w:szCs w:val="24"/>
          <w:lang w:val="en-US"/>
        </w:rPr>
        <w:t>S</w:t>
      </w:r>
      <w:r>
        <w:rPr>
          <w:rFonts w:cs="Times New Roman" w:ascii="Times New Roman" w:hAnsi="Times New Roman"/>
          <w:sz w:val="24"/>
          <w:szCs w:val="24"/>
        </w:rPr>
        <w:t>1600, Туринг-Лайт</w:t>
      </w:r>
    </w:p>
    <w:p>
      <w:pPr>
        <w:pStyle w:val="Normal"/>
        <w:spacing w:lineRule="auto" w:line="240" w:before="0" w:after="0"/>
        <w:ind w:left="36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10.30 – 10.50  Официальная тренировка Волга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11.00 – 11.20  Квалификация </w:t>
      </w:r>
      <w:r>
        <w:rPr>
          <w:rFonts w:cs="Times New Roman" w:ascii="Times New Roman" w:hAnsi="Times New Roman"/>
          <w:sz w:val="24"/>
          <w:szCs w:val="24"/>
          <w:lang w:val="en-US"/>
        </w:rPr>
        <w:t>S</w:t>
      </w:r>
      <w:r>
        <w:rPr>
          <w:rFonts w:cs="Times New Roman" w:ascii="Times New Roman" w:hAnsi="Times New Roman"/>
          <w:sz w:val="24"/>
          <w:szCs w:val="24"/>
        </w:rPr>
        <w:t>1600, Туринг-Лайт</w:t>
      </w:r>
    </w:p>
    <w:p>
      <w:pPr>
        <w:pStyle w:val="Normal"/>
        <w:spacing w:lineRule="auto" w:line="240" w:before="0" w:after="0"/>
        <w:ind w:left="36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11.30 – 11.50  Квалификация Волга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12.00 – 12.20  Открытие соревнования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12.30 – 12.45  Предстартовая процедура </w:t>
      </w:r>
      <w:r>
        <w:rPr>
          <w:rFonts w:cs="Times New Roman" w:ascii="Times New Roman" w:hAnsi="Times New Roman"/>
          <w:sz w:val="24"/>
          <w:szCs w:val="24"/>
          <w:lang w:val="en-US"/>
        </w:rPr>
        <w:t>S</w:t>
      </w:r>
      <w:r>
        <w:rPr>
          <w:rFonts w:cs="Times New Roman" w:ascii="Times New Roman" w:hAnsi="Times New Roman"/>
          <w:sz w:val="24"/>
          <w:szCs w:val="24"/>
        </w:rPr>
        <w:t>1600, Туринг-Лайт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12.45 – 13.15  Гонка 1 </w:t>
      </w:r>
      <w:r>
        <w:rPr>
          <w:rFonts w:cs="Times New Roman" w:ascii="Times New Roman" w:hAnsi="Times New Roman"/>
          <w:sz w:val="24"/>
          <w:szCs w:val="24"/>
          <w:lang w:val="en-US"/>
        </w:rPr>
        <w:t>S</w:t>
      </w:r>
      <w:r>
        <w:rPr>
          <w:rFonts w:cs="Times New Roman" w:ascii="Times New Roman" w:hAnsi="Times New Roman"/>
          <w:sz w:val="24"/>
          <w:szCs w:val="24"/>
        </w:rPr>
        <w:t>1600, Туринг-Лайт (15 кругов старт с места)</w:t>
      </w:r>
    </w:p>
    <w:p>
      <w:pPr>
        <w:pStyle w:val="Normal"/>
        <w:spacing w:lineRule="auto" w:line="240" w:before="0" w:after="0"/>
        <w:ind w:left="36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13.30 – 13.45  Предстартовая процедура Волга</w:t>
      </w:r>
    </w:p>
    <w:p>
      <w:pPr>
        <w:pStyle w:val="Normal"/>
        <w:spacing w:lineRule="auto" w:line="240" w:before="0" w:after="0"/>
        <w:ind w:left="36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13.45 – 14.15  Гонка 1 Волга (15 кругов старт с места)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14.30 – 14.45  Предстартовая процедура </w:t>
      </w:r>
      <w:r>
        <w:rPr>
          <w:rFonts w:cs="Times New Roman" w:ascii="Times New Roman" w:hAnsi="Times New Roman"/>
          <w:sz w:val="24"/>
          <w:szCs w:val="24"/>
          <w:lang w:val="en-US"/>
        </w:rPr>
        <w:t>S</w:t>
      </w:r>
      <w:r>
        <w:rPr>
          <w:rFonts w:cs="Times New Roman" w:ascii="Times New Roman" w:hAnsi="Times New Roman"/>
          <w:sz w:val="24"/>
          <w:szCs w:val="24"/>
        </w:rPr>
        <w:t>1600, Туринг-Лайт</w:t>
      </w:r>
    </w:p>
    <w:p>
      <w:pPr>
        <w:pStyle w:val="Normal"/>
        <w:spacing w:lineRule="auto" w:line="240" w:before="0" w:after="0"/>
        <w:ind w:left="36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14.45 – 15.20  Гонка 2 </w:t>
      </w:r>
      <w:r>
        <w:rPr>
          <w:rFonts w:cs="Times New Roman" w:ascii="Times New Roman" w:hAnsi="Times New Roman"/>
          <w:sz w:val="24"/>
          <w:szCs w:val="24"/>
          <w:lang w:val="en-US"/>
        </w:rPr>
        <w:t>S</w:t>
      </w:r>
      <w:r>
        <w:rPr>
          <w:rFonts w:cs="Times New Roman" w:ascii="Times New Roman" w:hAnsi="Times New Roman"/>
          <w:sz w:val="24"/>
          <w:szCs w:val="24"/>
        </w:rPr>
        <w:t>1600, Туринг-Лайт (13 кругов старт с места)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15.30 – 15.45  Предстартовая процедура Волга</w:t>
      </w:r>
    </w:p>
    <w:p>
      <w:pPr>
        <w:pStyle w:val="Normal"/>
        <w:spacing w:lineRule="auto" w:line="240" w:before="0" w:after="0"/>
        <w:ind w:left="36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15.45 – 16.20  Гонка 2 Волга (13 кругов старт с места)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9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Программа соревнований, по решению организатора может быть изменена*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  <w:lang w:val="en-US"/>
        </w:rPr>
        <w:t>V</w:t>
      </w:r>
      <w:r>
        <w:rPr>
          <w:rFonts w:cs="Times New Roman" w:ascii="Times New Roman" w:hAnsi="Times New Roman"/>
          <w:sz w:val="28"/>
          <w:szCs w:val="28"/>
        </w:rPr>
        <w:t>. ТРЕБОВАНИЯ К УЧАСТНИКАМ И УСЛОВИЯ ИХ ДОПУСКА.</w:t>
      </w:r>
    </w:p>
    <w:p>
      <w:pPr>
        <w:pStyle w:val="Style20"/>
        <w:numPr>
          <w:ilvl w:val="0"/>
          <w:numId w:val="7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 спортивным соревнованиям допускаются спортсмены следующих возрастных категорий: мужчины, женщины, Юноши, девушки (15-17 лет)</w:t>
      </w:r>
    </w:p>
    <w:p>
      <w:pPr>
        <w:pStyle w:val="Style20"/>
        <w:spacing w:lineRule="auto" w:line="240" w:before="0" w:after="0"/>
        <w:ind w:left="36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0"/>
        <w:numPr>
          <w:ilvl w:val="0"/>
          <w:numId w:val="7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Спортивные соревнования проходят по следующим дисциплинам:</w:t>
      </w:r>
    </w:p>
    <w:p>
      <w:pPr>
        <w:pStyle w:val="Normal"/>
        <w:spacing w:lineRule="auto" w:line="240"/>
        <w:ind w:left="36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кольцевые гонки "</w:t>
      </w:r>
      <w:r>
        <w:rPr>
          <w:rFonts w:cs="Times New Roman" w:ascii="Times New Roman" w:hAnsi="Times New Roman"/>
          <w:sz w:val="24"/>
          <w:szCs w:val="24"/>
          <w:lang w:val="en-US"/>
        </w:rPr>
        <w:t>S</w:t>
      </w:r>
      <w:r>
        <w:rPr>
          <w:rFonts w:cs="Times New Roman" w:ascii="Times New Roman" w:hAnsi="Times New Roman"/>
          <w:sz w:val="24"/>
          <w:szCs w:val="24"/>
        </w:rPr>
        <w:t xml:space="preserve"> 1600" 1660261811Л</w:t>
      </w:r>
    </w:p>
    <w:p>
      <w:pPr>
        <w:pStyle w:val="Normal"/>
        <w:spacing w:lineRule="auto" w:line="240" w:before="240" w:after="200"/>
        <w:ind w:left="360" w:hanging="0"/>
        <w:rPr/>
      </w:pPr>
      <w:r>
        <w:rPr>
          <w:rFonts w:cs="Times New Roman" w:ascii="Times New Roman" w:hAnsi="Times New Roman"/>
          <w:sz w:val="24"/>
          <w:szCs w:val="24"/>
        </w:rPr>
        <w:t>кольцевые гонки "</w:t>
      </w:r>
      <w:r>
        <w:rPr>
          <w:rFonts w:cs="Times New Roman" w:ascii="Times New Roman" w:hAnsi="Times New Roman"/>
          <w:sz w:val="24"/>
          <w:szCs w:val="24"/>
          <w:lang w:val="en-US"/>
        </w:rPr>
        <w:t>S</w:t>
      </w:r>
      <w:r>
        <w:rPr>
          <w:rFonts w:cs="Times New Roman" w:ascii="Times New Roman" w:hAnsi="Times New Roman"/>
          <w:sz w:val="24"/>
          <w:szCs w:val="24"/>
        </w:rPr>
        <w:t xml:space="preserve"> 1600" 1660261811Л (</w:t>
      </w:r>
      <w:r>
        <w:rPr/>
        <w:t>FIA A-5723)</w:t>
      </w:r>
    </w:p>
    <w:p>
      <w:pPr>
        <w:pStyle w:val="Normal"/>
        <w:spacing w:lineRule="auto" w:line="240" w:before="240" w:after="200"/>
        <w:ind w:left="36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кольцевые гонки «Туринг-Лайт» 1660281811Л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</w:t>
      </w:r>
      <w:r>
        <w:rPr>
          <w:rFonts w:cs="Times New Roman" w:ascii="Times New Roman" w:hAnsi="Times New Roman"/>
          <w:sz w:val="24"/>
          <w:szCs w:val="24"/>
        </w:rPr>
        <w:t>кольцевые гонки "Волга" 1660241811Л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кольцевые гонки "Лада"   1660251811Л</w:t>
      </w:r>
    </w:p>
    <w:p>
      <w:pPr>
        <w:pStyle w:val="Normal"/>
        <w:numPr>
          <w:ilvl w:val="0"/>
          <w:numId w:val="7"/>
        </w:numPr>
        <w:autoSpaceDE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участию в соревнованиях допускаются Пилоты, подавшие заявки и оплатившие стартовый взнос, имеющие действующие Лицензии  Пилота, выданные  РАФ не ниже категории «Еи соответствующие критериям допуска для участия в официальных соревнованиях. Пилоты, не обладающие по мнению КСК, достаточным уровнем подготовки и представляющие  опасность для соревнующихся, могут быть  решением КСК отстранены от тренировок или гонок.</w:t>
      </w:r>
      <w:r>
        <w:rPr>
          <w:rFonts w:eastAsia="Arial-BoldMT;MS Mincho" w:cs="Times New Roman" w:ascii="Times New Roman" w:hAnsi="Times New Roman"/>
          <w:bCs/>
          <w:sz w:val="24"/>
          <w:szCs w:val="24"/>
        </w:rPr>
        <w:t xml:space="preserve"> </w:t>
      </w:r>
    </w:p>
    <w:p>
      <w:pPr>
        <w:pStyle w:val="Normal"/>
        <w:numPr>
          <w:ilvl w:val="0"/>
          <w:numId w:val="7"/>
        </w:numPr>
        <w:autoSpaceDE w:val="false"/>
        <w:spacing w:lineRule="auto" w:line="240" w:before="0" w:after="0"/>
        <w:rPr/>
      </w:pPr>
      <w:r>
        <w:rPr>
          <w:rFonts w:cs="Times New Roman" w:ascii="Times New Roman" w:hAnsi="Times New Roman"/>
          <w:sz w:val="24"/>
          <w:szCs w:val="24"/>
        </w:rPr>
        <w:t>Экипировка Пилотов должна соответствовать Приложению 15 к КиТТ. Применение системы FHR (HANS®) рекомендовано.</w:t>
      </w:r>
    </w:p>
    <w:p>
      <w:pPr>
        <w:pStyle w:val="Normal"/>
        <w:autoSpaceDE w:val="false"/>
        <w:spacing w:lineRule="auto" w:line="240" w:before="0" w:after="0"/>
        <w:jc w:val="both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jc w:val="both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jc w:val="both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>ДОПУСКАЕМЫЕ АВТОМОБИЛИ</w:t>
      </w:r>
    </w:p>
    <w:p>
      <w:pPr>
        <w:pStyle w:val="Normal"/>
        <w:numPr>
          <w:ilvl w:val="0"/>
          <w:numId w:val="7"/>
        </w:numPr>
        <w:autoSpaceDE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>К участию в соревнованиях допускаются автомобили, соответствующие действующим в 2023 году КиТТ и дополнительным техническим требованиям к автомобилям участвующим в кольцевых гонках.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 xml:space="preserve">        </w:t>
      </w:r>
      <w:r>
        <w:rPr>
          <w:rFonts w:eastAsia="Arial-BoldMT;MS Mincho" w:cs="Times New Roman" w:ascii="Times New Roman" w:hAnsi="Times New Roman"/>
          <w:bCs/>
          <w:sz w:val="24"/>
          <w:szCs w:val="24"/>
        </w:rPr>
        <w:t>- В зачетную группу «</w:t>
      </w:r>
      <w:r>
        <w:rPr>
          <w:rFonts w:eastAsia="Arial-BoldMT;MS Mincho" w:cs="Times New Roman" w:ascii="Times New Roman" w:hAnsi="Times New Roman"/>
          <w:bCs/>
          <w:sz w:val="24"/>
          <w:szCs w:val="24"/>
          <w:lang w:val="en-US"/>
        </w:rPr>
        <w:t>S</w:t>
      </w:r>
      <w:r>
        <w:rPr>
          <w:rFonts w:eastAsia="Arial-BoldMT;MS Mincho" w:cs="Times New Roman" w:ascii="Times New Roman" w:hAnsi="Times New Roman"/>
          <w:bCs/>
          <w:sz w:val="24"/>
          <w:szCs w:val="24"/>
        </w:rPr>
        <w:t>1600» допускаются автомобили, подготовленные по  «Техническим требованиям к автомобилям класса «</w:t>
      </w:r>
      <w:r>
        <w:rPr>
          <w:rFonts w:eastAsia="Arial-BoldMT;MS Mincho" w:cs="Times New Roman" w:ascii="Times New Roman" w:hAnsi="Times New Roman"/>
          <w:bCs/>
          <w:sz w:val="24"/>
          <w:szCs w:val="24"/>
          <w:lang w:val="en-US"/>
        </w:rPr>
        <w:t>S</w:t>
      </w:r>
      <w:r>
        <w:rPr>
          <w:rFonts w:eastAsia="Arial-BoldMT;MS Mincho" w:cs="Times New Roman" w:ascii="Times New Roman" w:hAnsi="Times New Roman"/>
          <w:bCs/>
          <w:sz w:val="24"/>
          <w:szCs w:val="24"/>
        </w:rPr>
        <w:t xml:space="preserve">1600» 2023 года (Приложение №26 к КиТТ 2021 года Утвержденные советом РАФ по спорту от 15.12.2020), 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 xml:space="preserve">Техническим требованиям к передне-приводным автомобилям класса «Национальный» с омологационным номером </w:t>
      </w:r>
      <w:r>
        <w:rPr>
          <w:rFonts w:eastAsia="Arial-BoldMT;MS Mincho" w:cs="Times New Roman" w:ascii="Times New Roman" w:hAnsi="Times New Roman"/>
          <w:bCs/>
          <w:sz w:val="24"/>
          <w:szCs w:val="24"/>
          <w:lang w:val="en-US"/>
        </w:rPr>
        <w:t>FIA</w:t>
      </w:r>
      <w:r>
        <w:rPr>
          <w:rFonts w:eastAsia="Arial-BoldMT;MS Mincho" w:cs="Times New Roman" w:ascii="Times New Roman" w:hAnsi="Times New Roman"/>
          <w:bCs/>
          <w:sz w:val="24"/>
          <w:szCs w:val="24"/>
        </w:rPr>
        <w:t xml:space="preserve"> </w:t>
      </w:r>
      <w:r>
        <w:rPr>
          <w:rFonts w:eastAsia="Arial-BoldMT;MS Mincho" w:cs="Times New Roman" w:ascii="Times New Roman" w:hAnsi="Times New Roman"/>
          <w:bCs/>
          <w:sz w:val="24"/>
          <w:szCs w:val="24"/>
          <w:lang w:val="en-US"/>
        </w:rPr>
        <w:t>A</w:t>
      </w:r>
      <w:r>
        <w:rPr>
          <w:rFonts w:eastAsia="Arial-BoldMT;MS Mincho" w:cs="Times New Roman" w:ascii="Times New Roman" w:hAnsi="Times New Roman"/>
          <w:bCs/>
          <w:sz w:val="24"/>
          <w:szCs w:val="24"/>
        </w:rPr>
        <w:t xml:space="preserve"> 5723 (Приложение №26 к КиТТ 2014 года) и дополнений к нему.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Cs/>
          <w:sz w:val="24"/>
          <w:szCs w:val="24"/>
        </w:rPr>
        <w:t xml:space="preserve">        </w:t>
      </w:r>
      <w:r>
        <w:rPr>
          <w:rFonts w:eastAsia="Arial-BoldMT;MS Mincho" w:cs="Times New Roman" w:ascii="Times New Roman" w:hAnsi="Times New Roman"/>
          <w:bCs/>
          <w:sz w:val="24"/>
          <w:szCs w:val="24"/>
        </w:rPr>
        <w:t xml:space="preserve">- В зачетную группу «Туринг-Лайт» допускаются автомобили, подготовленные по  «Техническим требованиям к автомобилям класса «Туринг-Лайт» 2023 года: Приложение 28  к КиТТ, 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 xml:space="preserve">        </w:t>
      </w:r>
      <w:r>
        <w:rPr>
          <w:rFonts w:eastAsia="Arial-BoldMT;MS Mincho" w:cs="Times New Roman" w:ascii="Times New Roman" w:hAnsi="Times New Roman"/>
          <w:bCs/>
          <w:sz w:val="24"/>
          <w:szCs w:val="24"/>
        </w:rPr>
        <w:t>- В зачетную группу «Волга» допускаются автомобили, удовлетворяющие «Специальным техническим требованиям к автомобилям класса «Волга», участвующими в спортивных соревнованиях» (Приложение №20 к КиТТ), «Специальным техническим требованиям к автомобилям класса «Волга 406».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 xml:space="preserve">     </w:t>
      </w:r>
    </w:p>
    <w:p>
      <w:pPr>
        <w:pStyle w:val="Normal"/>
        <w:autoSpaceDE w:val="false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Cs/>
          <w:sz w:val="24"/>
          <w:szCs w:val="24"/>
        </w:rPr>
        <w:t xml:space="preserve">      </w:t>
      </w:r>
      <w:r>
        <w:rPr>
          <w:rFonts w:eastAsia="Arial-BoldMT;MS Mincho" w:cs="Times New Roman" w:ascii="Times New Roman" w:hAnsi="Times New Roman"/>
          <w:bCs/>
          <w:sz w:val="24"/>
          <w:szCs w:val="24"/>
        </w:rPr>
        <w:t xml:space="preserve">- В зачетную группу «Жигули» допускаются автомобили, подготовленные по  «Техническим требованиям к классическим автомобилям класса </w:t>
      </w:r>
      <w:r>
        <w:rPr>
          <w:rFonts w:cs="Times New Roman" w:ascii="Times New Roman" w:hAnsi="Times New Roman"/>
          <w:sz w:val="24"/>
          <w:szCs w:val="24"/>
        </w:rPr>
        <w:t>«</w:t>
      </w:r>
      <w:hyperlink r:id="rId6">
        <w:r>
          <w:rPr>
            <w:rStyle w:val="InternetLink"/>
            <w:rFonts w:cs="Arial" w:ascii="Arial" w:hAnsi="Arial"/>
            <w:color w:val="000000"/>
            <w:sz w:val="21"/>
            <w:szCs w:val="21"/>
          </w:rPr>
          <w:t>Historic Cup A1</w:t>
        </w:r>
      </w:hyperlink>
      <w:r>
        <w:rPr>
          <w:rFonts w:cs="Times New Roman" w:ascii="Times New Roman" w:hAnsi="Times New Roman"/>
          <w:sz w:val="24"/>
          <w:szCs w:val="24"/>
        </w:rPr>
        <w:t>», «</w:t>
      </w:r>
      <w:hyperlink r:id="rId7">
        <w:r>
          <w:rPr>
            <w:rStyle w:val="InternetLink"/>
            <w:rFonts w:cs="Arial" w:ascii="Arial" w:hAnsi="Arial"/>
            <w:color w:val="000000"/>
            <w:sz w:val="21"/>
            <w:szCs w:val="21"/>
          </w:rPr>
          <w:t> Historic Cup A5</w:t>
        </w:r>
      </w:hyperlink>
      <w:r>
        <w:rPr/>
        <w:t xml:space="preserve">» </w:t>
      </w:r>
      <w:r>
        <w:rPr>
          <w:rFonts w:eastAsia="Arial-BoldMT;MS Mincho" w:cs="Times New Roman" w:ascii="Times New Roman" w:hAnsi="Times New Roman"/>
          <w:bCs/>
          <w:sz w:val="24"/>
          <w:szCs w:val="24"/>
        </w:rPr>
        <w:t>и дополнений к нему.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</w:r>
    </w:p>
    <w:p>
      <w:pPr>
        <w:pStyle w:val="Normal"/>
        <w:tabs>
          <w:tab w:val="clear" w:pos="708"/>
          <w:tab w:val="left" w:pos="880" w:leader="none"/>
        </w:tabs>
        <w:autoSpaceDE w:val="false"/>
        <w:spacing w:lineRule="auto" w:line="240" w:before="0" w:after="0"/>
        <w:rPr/>
      </w:pPr>
      <w:r>
        <w:rPr>
          <w:rFonts w:cs="Times New Roman" w:ascii="Times New Roman" w:hAnsi="Times New Roman"/>
          <w:sz w:val="24"/>
          <w:szCs w:val="24"/>
        </w:rPr>
        <w:t xml:space="preserve">Все автомобили должны быть оборудованы исправными датчиками автоматической системы хронометража «TRANX-260, </w:t>
      </w:r>
      <w:r>
        <w:rPr>
          <w:rFonts w:cs="Times New Roman" w:ascii="Times New Roman" w:hAnsi="Times New Roman"/>
          <w:sz w:val="24"/>
          <w:szCs w:val="24"/>
          <w:lang w:val="en-US"/>
        </w:rPr>
        <w:t>X</w:t>
      </w:r>
      <w:r>
        <w:rPr>
          <w:rFonts w:cs="Times New Roman" w:ascii="Times New Roman" w:hAnsi="Times New Roman"/>
          <w:sz w:val="24"/>
          <w:szCs w:val="24"/>
        </w:rPr>
        <w:t xml:space="preserve">2», номера которых указываются Участниками на Административной проверке. Датчики могут быть предоставлены в аренду Организатором при этом, участник, несёт ответственность за работоспособность и в случае порчи датчика компенсирует его полную стоимость. </w:t>
      </w:r>
    </w:p>
    <w:p>
      <w:pPr>
        <w:pStyle w:val="Normal"/>
        <w:tabs>
          <w:tab w:val="clear" w:pos="708"/>
          <w:tab w:val="left" w:pos="880" w:leader="none"/>
        </w:tabs>
        <w:autoSpaceDE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Все автомобили, участвующие в соревновании должны иметь установленный РАФ Технический Паспорт на автомобиль, участвующий в спортивных соревнованиях (СТП).</w:t>
      </w:r>
    </w:p>
    <w:p>
      <w:pPr>
        <w:pStyle w:val="Normal"/>
        <w:tabs>
          <w:tab w:val="clear" w:pos="708"/>
          <w:tab w:val="left" w:pos="880" w:leader="none"/>
        </w:tabs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всех автомобилях должна быть установлена система «он-борд» видеозаписи. Расположение и способ крепления видеокамеры должны быть согласованы с техническими контролёрами. Обязанностью Заявителя, является поддержание её в работоспособном состоянии во время каждого заезда и включение до старта заезда. После старта заезда запрещены любые действия с системой видеозаписи, камерой, носителем видеоинформации до снятия режима Закрытого парка, либо до разрешения технического контролёра и в его присутствии. Указанный запрет распространяется, в том числе, и на не финишировавший автомобиль. Технические контролёры должны иметь доступ к видеокамерам и информации, записанной на них, в любой момент в течение соревнования. Ответственность за работоспособность видеокамер, выставленного ракурса съёмки, целостности, непрерывности, количества и качества записанной информации, лежит на Заявителе.</w:t>
      </w:r>
    </w:p>
    <w:p>
      <w:pPr>
        <w:pStyle w:val="Normal"/>
        <w:tabs>
          <w:tab w:val="clear" w:pos="708"/>
          <w:tab w:val="left" w:pos="880" w:leader="none"/>
        </w:tabs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Техническая инспекция проводится в соответствии с программой этапа соревнования.</w:t>
      </w:r>
    </w:p>
    <w:p>
      <w:pPr>
        <w:pStyle w:val="Normal"/>
        <w:tabs>
          <w:tab w:val="clear" w:pos="708"/>
          <w:tab w:val="left" w:pos="880" w:leader="none"/>
        </w:tabs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Автомобиль участника должен нести на себе обязательную рекламу Организатора в течение всего соревнования. Отсутствие обязательной рекламы может послужить причиной отказа в допуске автомобиля в заезд.</w:t>
      </w:r>
    </w:p>
    <w:p>
      <w:pPr>
        <w:pStyle w:val="Normal"/>
        <w:tabs>
          <w:tab w:val="clear" w:pos="708"/>
          <w:tab w:val="left" w:pos="880" w:leader="none"/>
        </w:tabs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всех автомобилях должны использоваться шины, указанные в Приложении 3. Использование шинных грелок запрещено во всех зачетных группах.</w:t>
      </w:r>
    </w:p>
    <w:p>
      <w:pPr>
        <w:pStyle w:val="Normal"/>
        <w:tabs>
          <w:tab w:val="clear" w:pos="708"/>
          <w:tab w:val="left" w:pos="880" w:leader="none"/>
        </w:tabs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>Во всех автомобилях должно использоваться топливо, указанное в Приложении 4.</w:t>
      </w:r>
    </w:p>
    <w:p>
      <w:pPr>
        <w:pStyle w:val="Normal"/>
        <w:tabs>
          <w:tab w:val="clear" w:pos="708"/>
          <w:tab w:val="left" w:pos="880" w:leader="none"/>
        </w:tabs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 этап одним Водителем могут быть заявлены максимум два автомобиля в каждой зачетной группе. 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случае, заявки одним Водителем двух автомобилей в одной зачётной группе на этап, участник обязан предоставить к осмотру каждый автомобиль на ПТИ (Предварительную Техническую Инспекцию), а так же на каждой Технической Инспекции по требованию технического контролёра. Подменный автомобиль должен полностью соответствовать Ки ТТ подменяемого. 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>Смена автомобиля участником допускается один раз  за этап, при  этом запрещена смена автомобиля на протяжении отдельно взятого официального заезда, данный участник обязан стартовать с последней позиции в ближайшей гонке, в которой он будет принимать участие.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Порядок применения весовых гандикапов описан в Приложении 1 к данному регламенту.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Углубленный технический осмотр производится в соответствии с Приложением 10 к СК РАФ «Положение об углублённом техническом осмотре автомобилей, участвующих в соревнованиях».</w:t>
      </w:r>
    </w:p>
    <w:p>
      <w:pPr>
        <w:pStyle w:val="Normal"/>
        <w:autoSpaceDE w:val="false"/>
        <w:spacing w:lineRule="auto" w:line="240" w:before="0" w:after="0"/>
        <w:rPr/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>С целью уравнивания соревновательных возможностей, величины изменяемых параметров автомобилей могут неоднократно корректироваться в течение многоэтапного соревнования, но не более одного раза на этапе. Право принятия в ходе сезона решений об уравнивании соревновательных возможностей автомобилей, участвующих в зачётных группах, имеет Организатор.</w:t>
      </w:r>
    </w:p>
    <w:p>
      <w:pPr>
        <w:pStyle w:val="Normal"/>
        <w:autoSpaceDE w:val="false"/>
        <w:spacing w:lineRule="auto" w:line="240" w:before="0" w:after="0"/>
        <w:ind w:left="880" w:hanging="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 xml:space="preserve">          </w:t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  <w:lang w:val="en-US"/>
        </w:rPr>
        <w:t>VI</w:t>
      </w:r>
      <w:r>
        <w:rPr>
          <w:rFonts w:cs="Times New Roman" w:ascii="Times New Roman" w:hAnsi="Times New Roman"/>
          <w:sz w:val="28"/>
          <w:szCs w:val="28"/>
        </w:rPr>
        <w:t>. ЗАЯВКИ НА УЧАСТИЕ.</w:t>
      </w:r>
    </w:p>
    <w:p>
      <w:pPr>
        <w:pStyle w:val="Normal"/>
        <w:numPr>
          <w:ilvl w:val="0"/>
          <w:numId w:val="3"/>
        </w:numPr>
        <w:autoSpaceDE w:val="fals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 xml:space="preserve">Заявки на участие в личном и командном зачёте подаются не позднее 7 дней до начала соревнования на электронную почту </w:t>
      </w:r>
      <w:hyperlink r:id="rId8">
        <w:r>
          <w:rPr>
            <w:rStyle w:val="InternetLink"/>
            <w:rFonts w:eastAsia="Arial-BoldMT;MS Mincho" w:cs="Times New Roman" w:ascii="Times New Roman" w:hAnsi="Times New Roman"/>
            <w:bCs/>
            <w:sz w:val="24"/>
            <w:szCs w:val="24"/>
            <w:lang w:val="en-US"/>
          </w:rPr>
          <w:t>info</w:t>
        </w:r>
        <w:r>
          <w:rPr>
            <w:rStyle w:val="InternetLink"/>
            <w:rFonts w:eastAsia="Arial-BoldMT;MS Mincho" w:cs="Times New Roman" w:ascii="Times New Roman" w:hAnsi="Times New Roman"/>
            <w:bCs/>
            <w:sz w:val="24"/>
            <w:szCs w:val="24"/>
          </w:rPr>
          <w:t>@</w:t>
        </w:r>
        <w:r>
          <w:rPr>
            <w:rStyle w:val="InternetLink"/>
            <w:rFonts w:eastAsia="Arial-BoldMT;MS Mincho" w:cs="Times New Roman" w:ascii="Times New Roman" w:hAnsi="Times New Roman"/>
            <w:bCs/>
            <w:sz w:val="24"/>
            <w:szCs w:val="24"/>
            <w:lang w:val="en-US"/>
          </w:rPr>
          <w:t>nring</w:t>
        </w:r>
        <w:r>
          <w:rPr>
            <w:rStyle w:val="InternetLink"/>
            <w:rFonts w:eastAsia="Arial-BoldMT;MS Mincho" w:cs="Times New Roman" w:ascii="Times New Roman" w:hAnsi="Times New Roman"/>
            <w:bCs/>
            <w:sz w:val="24"/>
            <w:szCs w:val="24"/>
          </w:rPr>
          <w:t>.</w:t>
        </w:r>
        <w:r>
          <w:rPr>
            <w:rStyle w:val="InternetLink"/>
            <w:rFonts w:eastAsia="Arial-BoldMT;MS Mincho" w:cs="Times New Roman" w:ascii="Times New Roman" w:hAnsi="Times New Roman"/>
            <w:bCs/>
            <w:sz w:val="24"/>
            <w:szCs w:val="24"/>
            <w:lang w:val="en-US"/>
          </w:rPr>
          <w:t>ru</w:t>
        </w:r>
      </w:hyperlink>
      <w:r>
        <w:rPr>
          <w:rFonts w:eastAsia="Arial-BoldMT;MS Mincho" w:cs="Times New Roman" w:ascii="Times New Roman" w:hAnsi="Times New Roman"/>
          <w:bCs/>
          <w:sz w:val="24"/>
          <w:szCs w:val="24"/>
        </w:rPr>
        <w:t xml:space="preserve">..Полностью заполненную и собственноручно подписанную заявку, участник должен предъявить на административной проверке в начале каждого этапа соревнования. Форма заявки приведена в Приложении №2  к данному положению. </w:t>
      </w:r>
    </w:p>
    <w:p>
      <w:pPr>
        <w:pStyle w:val="Style20"/>
        <w:numPr>
          <w:ilvl w:val="0"/>
          <w:numId w:val="3"/>
        </w:numPr>
        <w:spacing w:lineRule="auto" w:line="276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заявке прилагаются следующие документы на каждого спортсмена:</w:t>
      </w:r>
    </w:p>
    <w:p>
      <w:pPr>
        <w:pStyle w:val="Style20"/>
        <w:spacing w:lineRule="auto" w:line="276" w:before="0" w:after="0"/>
        <w:ind w:left="360" w:hanging="0"/>
        <w:contextualSpacing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- паспорт или иной документ удостоверяющий личность,</w:t>
      </w:r>
    </w:p>
    <w:p>
      <w:pPr>
        <w:pStyle w:val="Style20"/>
        <w:spacing w:lineRule="auto" w:line="276" w:before="0" w:after="0"/>
        <w:ind w:left="360" w:hanging="0"/>
        <w:contextualSpacing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- полис обязательного медицинского страхования,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sz w:val="24"/>
          <w:szCs w:val="24"/>
        </w:rPr>
        <w:t>- полис страхования жизни и здоровья от несчастных случаев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sz w:val="24"/>
          <w:szCs w:val="24"/>
        </w:rPr>
        <w:t>- Национальная Лицензия пилота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sz w:val="24"/>
          <w:szCs w:val="24"/>
        </w:rPr>
        <w:t xml:space="preserve">- Персональная национальная лицензия заявителя (для родителей или законных представителей пилотов младше 18 лет) 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-Лицензия заявителя для юридических лиц.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  <w:lang w:val="en-US"/>
        </w:rPr>
        <w:t>VII</w:t>
      </w:r>
      <w:r>
        <w:rPr>
          <w:rFonts w:cs="Times New Roman" w:ascii="Times New Roman" w:hAnsi="Times New Roman"/>
          <w:sz w:val="28"/>
          <w:szCs w:val="28"/>
        </w:rPr>
        <w:t>. УСЛОВИЯ ПОДВЕДЕНИЯ ИТОГОВ.</w:t>
      </w:r>
    </w:p>
    <w:p>
      <w:pPr>
        <w:pStyle w:val="Normal"/>
        <w:numPr>
          <w:ilvl w:val="1"/>
          <w:numId w:val="6"/>
        </w:numPr>
        <w:autoSpaceDE w:val="false"/>
        <w:spacing w:lineRule="auto" w:line="240" w:before="0" w:after="0"/>
        <w:ind w:left="990" w:hanging="630"/>
        <w:jc w:val="both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Официальные соревнования проводятся в личном и командном зачёте.</w:t>
      </w:r>
    </w:p>
    <w:p>
      <w:pPr>
        <w:pStyle w:val="Normal"/>
        <w:numPr>
          <w:ilvl w:val="1"/>
          <w:numId w:val="6"/>
        </w:numPr>
        <w:autoSpaceDE w:val="false"/>
        <w:spacing w:lineRule="auto" w:line="240" w:before="0" w:after="0"/>
        <w:ind w:left="990" w:hanging="630"/>
        <w:jc w:val="both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Официальное соревнование будет считаться состоявшимся в том случае, если фактически будет организовано и проведено более половины заявленных этапов.</w:t>
      </w:r>
    </w:p>
    <w:p>
      <w:pPr>
        <w:pStyle w:val="Normal"/>
        <w:numPr>
          <w:ilvl w:val="1"/>
          <w:numId w:val="6"/>
        </w:numPr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63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 принявшим участие на этапе понимается спортсмен, принявший старт (пересёкший линию старта после подачи стартовой команды) хотя бы в одной из гонок этапа. Принявшим участие в Официальных соревнованиях считается спортсмен, фактически принявший участие хотя бы в одном из этапов.</w:t>
      </w:r>
    </w:p>
    <w:p>
      <w:pPr>
        <w:pStyle w:val="Normal"/>
        <w:numPr>
          <w:ilvl w:val="1"/>
          <w:numId w:val="6"/>
        </w:numPr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63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 принявшей участие на этапе понимается команда, в которой хотя бы один спортсмен принял старт (пересёкший линию старта после подачи стартовой команды). Принявшей участие в Официальных соревнованиях считается команда, фактически принявшая участие хотя бы в одном из этапов многоэтапного соревнования.</w:t>
      </w:r>
    </w:p>
    <w:p>
      <w:pPr>
        <w:pStyle w:val="Normal"/>
        <w:numPr>
          <w:ilvl w:val="1"/>
          <w:numId w:val="6"/>
        </w:numPr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630"/>
        <w:rPr>
          <w:rFonts w:ascii="Times New Roman" w:hAnsi="Times New Roman" w:eastAsia="Arial-BoldMT;MS Mincho" w:cs="Times New Roman"/>
          <w:bCs/>
        </w:rPr>
      </w:pPr>
      <w:r>
        <w:rPr>
          <w:rFonts w:cs="Times New Roman" w:ascii="Times New Roman" w:hAnsi="Times New Roman"/>
        </w:rPr>
        <w:t>Состав команды на этапах официальных соревнований не более 2 спортсменов в одной зачётной группе, заявленных одним Заявителем. Каждый  спортсмен может быть заявлен на этапе официального соревнования в одной зачётной группе только за одну команду. Переход спортсмена из одной команды в другую разрешён между  этапами.</w:t>
      </w:r>
    </w:p>
    <w:p>
      <w:pPr>
        <w:pStyle w:val="Normal"/>
        <w:numPr>
          <w:ilvl w:val="1"/>
          <w:numId w:val="6"/>
        </w:numPr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63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 xml:space="preserve"> </w:t>
      </w:r>
      <w:r>
        <w:rPr>
          <w:rFonts w:eastAsia="Arial-BoldMT;MS Mincho" w:cs="Times New Roman" w:ascii="Times New Roman" w:hAnsi="Times New Roman"/>
          <w:bCs/>
          <w:sz w:val="24"/>
          <w:szCs w:val="24"/>
        </w:rPr>
        <w:t>КСК может принять решение о совместном проведении заездов в зачётных группах, в которых автомобили обладают близкими скоростными характеристиками.</w:t>
      </w:r>
    </w:p>
    <w:p>
      <w:pPr>
        <w:pStyle w:val="Normal"/>
        <w:numPr>
          <w:ilvl w:val="1"/>
          <w:numId w:val="6"/>
        </w:numPr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63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>Проведение тренировок, квалификации, разминки и гонок осуществляется в соответствии с Правилами.</w:t>
      </w:r>
    </w:p>
    <w:p>
      <w:pPr>
        <w:pStyle w:val="Normal"/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0"/>
        <w:jc w:val="both"/>
        <w:rPr/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>Тренировка:</w:t>
      </w:r>
      <w:r>
        <w:rPr>
          <w:rFonts w:eastAsia="Arial-BoldMT;MS Mincho" w:cs="Times New Roman" w:ascii="Times New Roman" w:hAnsi="Times New Roman"/>
          <w:bCs/>
          <w:sz w:val="24"/>
          <w:szCs w:val="24"/>
        </w:rPr>
        <w:t xml:space="preserve"> во всех зачетных группах проводится как минимум одна тренировка продолжительностью не менее 20 минут.</w:t>
      </w:r>
    </w:p>
    <w:p>
      <w:pPr>
        <w:pStyle w:val="Normal"/>
        <w:numPr>
          <w:ilvl w:val="1"/>
          <w:numId w:val="6"/>
        </w:numPr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630"/>
        <w:jc w:val="both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>Квалификация:</w:t>
      </w:r>
    </w:p>
    <w:p>
      <w:pPr>
        <w:pStyle w:val="Normal"/>
        <w:numPr>
          <w:ilvl w:val="2"/>
          <w:numId w:val="6"/>
        </w:numPr>
        <w:tabs>
          <w:tab w:val="clear" w:pos="708"/>
          <w:tab w:val="left" w:pos="1760" w:leader="none"/>
        </w:tabs>
        <w:autoSpaceDE w:val="false"/>
        <w:spacing w:lineRule="auto" w:line="240" w:before="0" w:after="0"/>
        <w:ind w:left="1760" w:hanging="77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>Во время квалификации работа с автомобилями, участвующими в ней, разрешается только в рабочей зоне пит-лейн перед боксами.</w:t>
      </w:r>
    </w:p>
    <w:p>
      <w:pPr>
        <w:pStyle w:val="Normal"/>
        <w:numPr>
          <w:ilvl w:val="2"/>
          <w:numId w:val="6"/>
        </w:numPr>
        <w:tabs>
          <w:tab w:val="clear" w:pos="708"/>
          <w:tab w:val="left" w:pos="1760" w:leader="none"/>
        </w:tabs>
        <w:autoSpaceDE w:val="false"/>
        <w:spacing w:lineRule="auto" w:line="240" w:before="0" w:after="0"/>
        <w:ind w:left="1760" w:hanging="77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>Во всех зачетных группах проводится одна квалификация длительностью 20 минут.</w:t>
      </w:r>
    </w:p>
    <w:p>
      <w:pPr>
        <w:pStyle w:val="Normal"/>
        <w:numPr>
          <w:ilvl w:val="2"/>
          <w:numId w:val="6"/>
        </w:numPr>
        <w:tabs>
          <w:tab w:val="clear" w:pos="708"/>
          <w:tab w:val="left" w:pos="1760" w:leader="none"/>
        </w:tabs>
        <w:autoSpaceDE w:val="false"/>
        <w:spacing w:lineRule="auto" w:line="240" w:before="0" w:after="0"/>
        <w:ind w:left="1760" w:hanging="77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>Если несколько Пилотов показали одинаковое время, преимущество имеет Пилот, показавший это время первым.</w:t>
      </w:r>
    </w:p>
    <w:p>
      <w:pPr>
        <w:pStyle w:val="Normal"/>
        <w:numPr>
          <w:ilvl w:val="2"/>
          <w:numId w:val="6"/>
        </w:numPr>
        <w:tabs>
          <w:tab w:val="clear" w:pos="708"/>
          <w:tab w:val="left" w:pos="1760" w:leader="none"/>
        </w:tabs>
        <w:autoSpaceDE w:val="false"/>
        <w:spacing w:lineRule="auto" w:line="240" w:before="0" w:after="0"/>
        <w:ind w:left="1760" w:hanging="77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>После окончания квалификации все Пилоты должны направить свои автомобили в зону ТИ.</w:t>
      </w:r>
    </w:p>
    <w:p>
      <w:pPr>
        <w:pStyle w:val="Normal"/>
        <w:numPr>
          <w:ilvl w:val="2"/>
          <w:numId w:val="6"/>
        </w:numPr>
        <w:tabs>
          <w:tab w:val="clear" w:pos="708"/>
          <w:tab w:val="left" w:pos="1760" w:leader="none"/>
        </w:tabs>
        <w:autoSpaceDE w:val="false"/>
        <w:spacing w:lineRule="auto" w:line="240" w:before="0" w:after="0"/>
        <w:ind w:left="1760" w:hanging="77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>Во всех зачетных группах проводится одна квалификация продолжительностью 20 минут. В случае досрочной остановки квалификации по каким-либо причинам, время заезда будет увеличено на время остановки.</w:t>
      </w:r>
    </w:p>
    <w:p>
      <w:pPr>
        <w:pStyle w:val="Normal"/>
        <w:autoSpaceDE w:val="false"/>
        <w:spacing w:lineRule="auto" w:line="240" w:before="0" w:after="0"/>
        <w:ind w:left="1760" w:hanging="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ind w:left="1760" w:hanging="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ind w:left="1760" w:hanging="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</w:r>
    </w:p>
    <w:p>
      <w:pPr>
        <w:pStyle w:val="Normal"/>
        <w:numPr>
          <w:ilvl w:val="1"/>
          <w:numId w:val="6"/>
        </w:numPr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630"/>
        <w:jc w:val="both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>Стартовая решетка:</w:t>
      </w:r>
    </w:p>
    <w:p>
      <w:pPr>
        <w:pStyle w:val="Normal"/>
        <w:autoSpaceDE w:val="false"/>
        <w:spacing w:lineRule="auto" w:line="240" w:before="0" w:after="0"/>
        <w:ind w:left="990" w:hanging="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 xml:space="preserve">Во всех зачетных группах расстановка на стартовой решетке первой гонки – по лучшему времени в квалификации. </w:t>
      </w:r>
      <w:r>
        <w:rPr>
          <w:rFonts w:cs="Times New Roman" w:ascii="Times New Roman" w:hAnsi="Times New Roman"/>
          <w:sz w:val="24"/>
          <w:szCs w:val="24"/>
        </w:rPr>
        <w:t>Расстановка на стартовой решётке второй гонки в – также по лучшему времени в квалификации, при этом первые шесть спортсменов, располагаются на старте в обратном порядке от результатов в квалификации</w:t>
      </w:r>
      <w:r>
        <w:rPr>
          <w:rFonts w:eastAsia="Arial-BoldMT;MS Mincho" w:cs="Times New Roman" w:ascii="Times New Roman" w:hAnsi="Times New Roman"/>
          <w:bCs/>
          <w:sz w:val="24"/>
          <w:szCs w:val="24"/>
        </w:rPr>
        <w:t xml:space="preserve">. </w:t>
      </w:r>
      <w:r>
        <w:rPr>
          <w:rFonts w:cs="Times New Roman" w:ascii="Times New Roman" w:hAnsi="Times New Roman"/>
          <w:sz w:val="24"/>
          <w:szCs w:val="24"/>
        </w:rPr>
        <w:t>Спортсмены, не стартовавшие в квалификации – после стартовавших в ней, спортсмены, не стартовавшие в первой гонке занимают места на старте после стартовавших в ней, в соответствии с результатом квалификации. Спортсмены, стартовавшие в первой гонке, но не классифицированные в ней, расставляются на старте второй гонки в порядке крайнего пересечения любой из официальных петель хронометража, когда представляется возможным определить положение на трассе всех подобных автомобилей, а при невозможности определить такое пересечение – по результату квалификации. Пенализация в виде потери определённого количества мест на старте применяется после формирования стартовой решётки как указано выше.</w:t>
      </w:r>
    </w:p>
    <w:p>
      <w:pPr>
        <w:pStyle w:val="Normal"/>
        <w:numPr>
          <w:ilvl w:val="1"/>
          <w:numId w:val="6"/>
        </w:numPr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63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>Порядок проведения гонок и стартовая процедура определяются Правилами.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>Старт всех гонок с места.</w:t>
      </w:r>
    </w:p>
    <w:p>
      <w:pPr>
        <w:pStyle w:val="Normal"/>
        <w:numPr>
          <w:ilvl w:val="1"/>
          <w:numId w:val="6"/>
        </w:numPr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63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>В заездах спортсмены классифицируются в порядке пересечения линии финиша с учётом количества пройденных ими кругов; принимается во внимание только количество полных кругов. Классифицируются только те спортсмены, которые прошли, как минимум 75% дистанции победителя заезда. При расчёте количества кругов зачётной дистанции неполный круг округляется в меньшую сторону. При определении победителей и призёров Чемпионата, за каждую гонку каждого Этапа Водителям начисляются очки в зачёт Официального соревнования по «Таблице №2», исходя из занятого места. За лучшее время в квалификации в своей зачётной группе спортсменам, принявшим старт в гонке, начисляются очки в зачёт официального соревнования:</w:t>
      </w:r>
    </w:p>
    <w:tbl>
      <w:tblPr>
        <w:tblW w:w="9692" w:type="dxa"/>
        <w:jc w:val="left"/>
        <w:tblInd w:w="87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0"/>
        <w:gridCol w:w="3231"/>
        <w:gridCol w:w="3231"/>
      </w:tblGrid>
      <w:tr>
        <w:trPr/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0" w:leader="none"/>
              </w:tabs>
              <w:autoSpaceDE w:val="false"/>
              <w:spacing w:lineRule="auto" w:line="240" w:before="0" w:after="0"/>
              <w:jc w:val="center"/>
              <w:rPr/>
            </w:pPr>
            <w:r>
              <w:rPr/>
              <w:t>1 место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0" w:leader="none"/>
              </w:tabs>
              <w:autoSpaceDE w:val="false"/>
              <w:spacing w:lineRule="auto" w:line="240" w:before="0" w:after="0"/>
              <w:jc w:val="center"/>
              <w:rPr/>
            </w:pPr>
            <w:r>
              <w:rPr/>
              <w:t>2 место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0" w:leader="none"/>
              </w:tabs>
              <w:autoSpaceDE w:val="false"/>
              <w:spacing w:lineRule="auto" w:line="240" w:before="0" w:after="0"/>
              <w:jc w:val="center"/>
              <w:rPr/>
            </w:pPr>
            <w:r>
              <w:rPr/>
              <w:t>3 место</w:t>
            </w:r>
          </w:p>
        </w:tc>
      </w:tr>
      <w:tr>
        <w:trPr/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0" w:leader="none"/>
              </w:tabs>
              <w:autoSpaceDE w:val="false"/>
              <w:spacing w:lineRule="auto" w:line="240" w:before="0" w:after="0"/>
              <w:jc w:val="center"/>
              <w:rPr/>
            </w:pPr>
            <w:r>
              <w:rPr/>
              <w:t>6 очков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0" w:leader="none"/>
              </w:tabs>
              <w:autoSpaceDE w:val="false"/>
              <w:spacing w:lineRule="auto" w:line="240" w:before="0" w:after="0"/>
              <w:jc w:val="center"/>
              <w:rPr/>
            </w:pPr>
            <w:r>
              <w:rPr/>
              <w:t>4 очка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90" w:leader="none"/>
              </w:tabs>
              <w:autoSpaceDE w:val="false"/>
              <w:spacing w:lineRule="auto" w:line="240" w:before="0" w:after="0"/>
              <w:jc w:val="center"/>
              <w:rPr/>
            </w:pPr>
            <w:r>
              <w:rPr/>
              <w:t>2 очка</w:t>
            </w:r>
          </w:p>
        </w:tc>
      </w:tr>
    </w:tbl>
    <w:p>
      <w:pPr>
        <w:pStyle w:val="Normal"/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0"/>
        <w:jc w:val="both"/>
        <w:rPr/>
      </w:pPr>
      <w:r>
        <w:rPr/>
      </w:r>
    </w:p>
    <w:p>
      <w:pPr>
        <w:pStyle w:val="Normal"/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За лучшее время круга в каждой из гонок Этапа в своей зачётной группе Водителю начисляется 1 дополнительное очко. Дополнительное очко за лучшее время круга начисляется только классифицированному в гонке водителю. </w:t>
      </w:r>
      <w:r>
        <w:rPr>
          <w:rFonts w:eastAsia="Arial-BoldMT;MS Mincho" w:cs="Times New Roman" w:ascii="Times New Roman" w:hAnsi="Times New Roman"/>
          <w:bCs/>
          <w:sz w:val="24"/>
          <w:szCs w:val="24"/>
        </w:rPr>
        <w:t>Победитель этапа определяется по сумме очков во всех проведённых гонках этапа. При равенстве очков – по лучшему месту в последней гонке этапа.</w:t>
      </w:r>
    </w:p>
    <w:p>
      <w:pPr>
        <w:pStyle w:val="Normal"/>
        <w:ind w:left="720" w:right="-2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Таблица №2</w:t>
      </w:r>
    </w:p>
    <w:tbl>
      <w:tblPr>
        <w:tblW w:w="8330" w:type="dxa"/>
        <w:jc w:val="left"/>
        <w:tblInd w:w="96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3"/>
        <w:gridCol w:w="456"/>
        <w:gridCol w:w="454"/>
        <w:gridCol w:w="454"/>
        <w:gridCol w:w="457"/>
        <w:gridCol w:w="461"/>
        <w:gridCol w:w="454"/>
        <w:gridCol w:w="459"/>
        <w:gridCol w:w="339"/>
        <w:gridCol w:w="348"/>
        <w:gridCol w:w="454"/>
        <w:gridCol w:w="454"/>
        <w:gridCol w:w="464"/>
        <w:gridCol w:w="512"/>
        <w:gridCol w:w="564"/>
        <w:gridCol w:w="567"/>
      </w:tblGrid>
      <w:tr>
        <w:trPr/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Занятое место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очков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</w:tbl>
    <w:p>
      <w:pPr>
        <w:pStyle w:val="Normal"/>
        <w:autoSpaceDE w:val="false"/>
        <w:spacing w:lineRule="auto" w:line="240" w:before="0" w:after="0"/>
        <w:ind w:left="562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Победитель этапа определяется по сумме очков во всех проведённых гонках этапа с учётом дополнительных очков.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>При равенстве очков – по лучшему месту в последней гонке этапа.</w:t>
      </w:r>
      <w:r>
        <w:rPr/>
        <w:t xml:space="preserve"> </w:t>
      </w:r>
    </w:p>
    <w:p>
      <w:pPr>
        <w:pStyle w:val="Normal"/>
        <w:autoSpaceDE w:val="false"/>
        <w:spacing w:lineRule="auto" w:line="240" w:before="0" w:after="0"/>
        <w:jc w:val="both"/>
        <w:rPr/>
      </w:pPr>
      <w:r>
        <w:rPr/>
      </w:r>
    </w:p>
    <w:p>
      <w:pPr>
        <w:pStyle w:val="Normal"/>
        <w:autoSpaceDE w:val="false"/>
        <w:spacing w:lineRule="auto" w:line="240" w:before="0" w:after="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 xml:space="preserve">Итоговые места в многоэтапном Соревновании  определяются по сумме набранных на  этапах очков </w:t>
      </w:r>
      <w:r>
        <w:rPr>
          <w:rFonts w:cs="Times New Roman" w:ascii="Times New Roman" w:hAnsi="Times New Roman"/>
          <w:sz w:val="24"/>
          <w:szCs w:val="24"/>
        </w:rPr>
        <w:t>При равенстве результатов берется результат этапа, не вошедшего в зачет, при последующем равенстве – согласно лучшим результатам в отдельных этапах многоэтапного соревнования (по количеству побед, при новом равенстве согласно количеству вторых мест, далее третьих и т.д.), в случае дальнейшего равенства  – по результату в последней гонке.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eastAsia="Arial-BoldMT;MS Mincho" w:cs="Times New Roman"/>
          <w:bCs/>
          <w:sz w:val="28"/>
          <w:szCs w:val="28"/>
        </w:rPr>
      </w:pPr>
      <w:r>
        <w:rPr>
          <w:rFonts w:eastAsia="Arial-BoldMT;MS Mincho" w:cs="Times New Roman" w:ascii="Times New Roman" w:hAnsi="Times New Roman"/>
          <w:bCs/>
          <w:sz w:val="28"/>
          <w:szCs w:val="28"/>
        </w:rPr>
      </w:r>
    </w:p>
    <w:p>
      <w:pPr>
        <w:pStyle w:val="Normal"/>
        <w:spacing w:before="0"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>VIII</w:t>
      </w:r>
      <w:r>
        <w:rPr>
          <w:rFonts w:cs="Times New Roman" w:ascii="Times New Roman" w:hAnsi="Times New Roman"/>
          <w:sz w:val="28"/>
          <w:szCs w:val="28"/>
        </w:rPr>
        <w:t>. НАГРАЖДЕНИЕ ПОБЕДИТЕЛЕЙ И ПРИЗЕРОВ.</w:t>
      </w:r>
    </w:p>
    <w:p>
      <w:pPr>
        <w:pStyle w:val="Normal"/>
        <w:spacing w:before="0" w:after="0"/>
        <w:ind w:firstLine="426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8.1. Победители и призеры этапов награждаются кубками и дипломами.</w:t>
      </w:r>
    </w:p>
    <w:p>
      <w:pPr>
        <w:pStyle w:val="Normal"/>
        <w:spacing w:before="0" w:after="0"/>
        <w:ind w:firstLine="426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autoSpaceDE w:val="false"/>
        <w:spacing w:lineRule="auto" w:line="240" w:before="0" w:after="0"/>
        <w:ind w:left="426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8.2.Пилоту, в своей зачетной группе, набравшему по итогам  Чемпионата Нижегородской Области наибольшее число очков, присваивается звание «Чемпион Нижегородской Области 2023 года по кольцевым гонкам в (зачетная группа)». Водители, занявшие 2-е и 3-е места, именуются серебряный и бронзовый призёры Чемпионата.</w:t>
      </w:r>
    </w:p>
    <w:p>
      <w:pPr>
        <w:pStyle w:val="Normal"/>
        <w:autoSpaceDE w:val="false"/>
        <w:spacing w:lineRule="auto" w:line="240" w:before="0" w:after="0"/>
        <w:ind w:left="426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8.3 Команде, набравшей по итогам чемпионата  наибольшее число очков в своей зачётной группе, присваивается звание «Команда (официальное название команды) - Чемпион Нижегородской области 2023 года по кольцевым гонкам в (зачётная группа)».</w:t>
      </w:r>
    </w:p>
    <w:p>
      <w:pPr>
        <w:pStyle w:val="Normal"/>
        <w:autoSpaceDE w:val="false"/>
        <w:spacing w:lineRule="auto" w:line="240" w:before="0" w:after="0"/>
        <w:ind w:left="42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>IX</w:t>
      </w:r>
      <w:r>
        <w:rPr>
          <w:rFonts w:cs="Times New Roman" w:ascii="Times New Roman" w:hAnsi="Times New Roman"/>
          <w:sz w:val="28"/>
          <w:szCs w:val="28"/>
        </w:rPr>
        <w:t>. УСЛОВИЯ ФИНАНСИРОВАНИЯ.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АСК «Нижегородское кольцо» несёт расходы, связанные с организацией и проведением этапов  соревнования, награждением победителей и призеров.</w:t>
      </w:r>
    </w:p>
    <w:p>
      <w:pPr>
        <w:pStyle w:val="Style20"/>
        <w:spacing w:lineRule="auto" w:line="276" w:before="0" w:after="0"/>
        <w:ind w:left="0" w:hanging="0"/>
        <w:contextualSpacing/>
        <w:rPr/>
      </w:pPr>
      <w:r>
        <w:rPr>
          <w:rFonts w:cs="Times New Roman" w:ascii="Times New Roman" w:hAnsi="Times New Roman"/>
          <w:sz w:val="24"/>
          <w:szCs w:val="24"/>
        </w:rPr>
        <w:t>Размер и порядок оплаты стартовых взносов указан в частном регламенте этапа.</w:t>
      </w:r>
    </w:p>
    <w:p>
      <w:pPr>
        <w:pStyle w:val="Style20"/>
        <w:spacing w:lineRule="auto" w:line="276" w:before="0" w:after="0"/>
        <w:ind w:left="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Расходы по командированию (проезд, питание, размещение) участников и тренеров обеспечивают командирующие организации.</w:t>
      </w:r>
    </w:p>
    <w:p>
      <w:pPr>
        <w:pStyle w:val="Normal"/>
        <w:tabs>
          <w:tab w:val="clear" w:pos="708"/>
          <w:tab w:val="left" w:pos="851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Все средства от заявочных и стартовых взносов идут на организационные расходы по проведению соревнований.</w:t>
      </w:r>
    </w:p>
    <w:p>
      <w:pPr>
        <w:pStyle w:val="Normal"/>
        <w:tabs>
          <w:tab w:val="clear" w:pos="708"/>
          <w:tab w:val="left" w:pos="851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851" w:leader="none"/>
        </w:tabs>
        <w:jc w:val="center"/>
        <w:rPr/>
      </w:pPr>
      <w:r>
        <w:rPr>
          <w:rFonts w:cs="Times New Roman" w:ascii="Times New Roman" w:hAnsi="Times New Roman"/>
          <w:color w:val="000000"/>
          <w:sz w:val="24"/>
          <w:szCs w:val="24"/>
          <w:lang w:val="en-US"/>
        </w:rPr>
        <w:t>X</w:t>
      </w:r>
      <w:r>
        <w:rPr>
          <w:rFonts w:cs="Times New Roman" w:ascii="Times New Roman" w:hAnsi="Times New Roman"/>
          <w:color w:val="000000"/>
          <w:sz w:val="24"/>
          <w:szCs w:val="24"/>
        </w:rPr>
        <w:t>. МЕРЫ ПО ПРЕДОТВРАЩЕНИЮ РАСПРОСТРАНЕНИЯ НОВОЙ КОРОНАВИРУСНОЙ ИНФЕКЦИИ (</w:t>
      </w:r>
      <w:r>
        <w:rPr>
          <w:rFonts w:cs="Times New Roman" w:ascii="Times New Roman" w:hAnsi="Times New Roman"/>
          <w:color w:val="000000"/>
          <w:sz w:val="24"/>
          <w:szCs w:val="24"/>
          <w:lang w:val="en-US"/>
        </w:rPr>
        <w:t>COVID</w:t>
      </w:r>
      <w:r>
        <w:rPr>
          <w:rFonts w:cs="Times New Roman" w:ascii="Times New Roman" w:hAnsi="Times New Roman"/>
          <w:color w:val="000000"/>
          <w:sz w:val="24"/>
          <w:szCs w:val="24"/>
        </w:rPr>
        <w:t>-19).</w:t>
      </w:r>
    </w:p>
    <w:p>
      <w:pPr>
        <w:pStyle w:val="Normal"/>
        <w:tabs>
          <w:tab w:val="clear" w:pos="708"/>
          <w:tab w:val="left" w:pos="851" w:leader="none"/>
        </w:tabs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1.Организатор соревнований обеспечивает участникам соревнований, прибывающим на территорию проведения соревнования, «входной фильтр» с проведением термометрии путем бесконтактного контроля температуры тела и обязательным отстранением от нахождения на территории проведения соревнования лиц с повышенной температурой тела и/или с признаками респираторного заболевания.</w:t>
      </w:r>
    </w:p>
    <w:p>
      <w:pPr>
        <w:pStyle w:val="Normal"/>
        <w:tabs>
          <w:tab w:val="clear" w:pos="708"/>
          <w:tab w:val="left" w:pos="851" w:leader="none"/>
        </w:tabs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2.Организатор соревнований обеспечивает нахождение кожных антисептиков в местах общего пользования на территории проведения соревнований.</w:t>
      </w:r>
    </w:p>
    <w:p>
      <w:pPr>
        <w:pStyle w:val="Normal"/>
        <w:tabs>
          <w:tab w:val="clear" w:pos="708"/>
          <w:tab w:val="left" w:pos="851" w:leader="none"/>
        </w:tabs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3.Участники, судьи и обслуживающий персонал спортивных соревнований обязаны использовать средства индивидуальной защиты (маски, перчатки), за исключением периода соревновательной и тренировочной деятельности (для спортсменов и спортивных судей).</w:t>
      </w:r>
    </w:p>
    <w:p>
      <w:pPr>
        <w:pStyle w:val="Normal"/>
        <w:tabs>
          <w:tab w:val="clear" w:pos="708"/>
          <w:tab w:val="left" w:pos="851" w:leader="none"/>
        </w:tabs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4.Спортсмены,тренеры,судьи самостоятельно обеспечивают себя средствами индивидуальной защиты (маски, перчатки).</w:t>
      </w:r>
    </w:p>
    <w:p>
      <w:pPr>
        <w:pStyle w:val="Normal"/>
        <w:tabs>
          <w:tab w:val="clear" w:pos="708"/>
          <w:tab w:val="left" w:pos="851" w:leader="none"/>
        </w:tabs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5.На всей территории проведения соревнования действует норма социального дистанцирования в 1,5 метра, за исключением соревновательной деятельности.</w:t>
      </w:r>
    </w:p>
    <w:p>
      <w:pPr>
        <w:pStyle w:val="Normal"/>
        <w:tabs>
          <w:tab w:val="clear" w:pos="708"/>
          <w:tab w:val="left" w:pos="851" w:leader="none"/>
        </w:tabs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6.Организатор соревнований обеспечивает проведение влажной уборки помещений в местах общего пользования с применением дезинфицирующих средств , а также регулярную обработку контактных поверхностей (поручней, ручек дверей, выключателей и др.)</w:t>
      </w:r>
    </w:p>
    <w:p>
      <w:pPr>
        <w:pStyle w:val="Normal"/>
        <w:tabs>
          <w:tab w:val="clear" w:pos="708"/>
          <w:tab w:val="left" w:pos="851" w:leader="none"/>
        </w:tabs>
        <w:rPr/>
      </w:pPr>
      <w:r>
        <w:rPr>
          <w:rFonts w:cs="Times New Roman" w:ascii="Times New Roman" w:hAnsi="Times New Roman"/>
          <w:color w:val="000000"/>
        </w:rPr>
        <w:t>7.По окончании соревнований организатор обеспечивает основные меры по дезинфекции помещений на территории проведения соревнований.</w:t>
      </w:r>
    </w:p>
    <w:p>
      <w:pPr>
        <w:pStyle w:val="Normal"/>
        <w:tabs>
          <w:tab w:val="clear" w:pos="708"/>
          <w:tab w:val="left" w:pos="851" w:leader="none"/>
        </w:tabs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8.Организазия мандатной комиссии осуществляется с учётом допуска в помещение по одному человеку с обязательным использованием средств индивидуальной защиты (маски, перчатки) как участникам, так и членам комиссии, и соблюдением социальной дистанции в 1,5 метра в помещении комиссии и перед входом.</w:t>
      </w:r>
    </w:p>
    <w:p>
      <w:pPr>
        <w:pStyle w:val="Normal"/>
        <w:tabs>
          <w:tab w:val="clear" w:pos="708"/>
          <w:tab w:val="left" w:pos="851" w:leader="none"/>
        </w:tabs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9.Кроме участников, в соревновательной зоне могут находится только тренеры в местах для секундирования.</w:t>
      </w:r>
    </w:p>
    <w:p>
      <w:pPr>
        <w:pStyle w:val="Normal"/>
        <w:tabs>
          <w:tab w:val="clear" w:pos="708"/>
          <w:tab w:val="left" w:pos="851" w:leader="none"/>
        </w:tabs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10.официальным лицам соревнований (судьям, секретарям, врачам ) и сотрудникам проводящей организации, ограничить личные контакты и использовать средства связи, такие как рация или мобильный телефон.</w:t>
      </w:r>
    </w:p>
    <w:p>
      <w:pPr>
        <w:pStyle w:val="Normal"/>
        <w:tabs>
          <w:tab w:val="clear" w:pos="708"/>
          <w:tab w:val="left" w:pos="851" w:leader="none"/>
        </w:tabs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11.Допускается проведение церемонии награждения с учётом обязательного использования средств индивидуальной защиты (маски, перчатки) и соблюдении социальной дистанции в 1,5 метра.</w:t>
      </w:r>
    </w:p>
    <w:p>
      <w:pPr>
        <w:pStyle w:val="Normal"/>
        <w:tabs>
          <w:tab w:val="clear" w:pos="708"/>
          <w:tab w:val="left" w:pos="851" w:leader="none"/>
        </w:tabs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12. Не допускается использование питания на территории проведения соревнования, за исключением продуктов произведенных и упакованных в заводских условиях.</w:t>
      </w:r>
    </w:p>
    <w:p>
      <w:pPr>
        <w:pStyle w:val="Normal"/>
        <w:autoSpaceDE w:val="false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  <w:lang w:val="en-US"/>
        </w:rPr>
        <w:t>XI</w:t>
      </w:r>
      <w:r>
        <w:rPr>
          <w:rFonts w:cs="Times New Roman" w:ascii="Times New Roman" w:hAnsi="Times New Roman"/>
          <w:sz w:val="28"/>
          <w:szCs w:val="28"/>
        </w:rPr>
        <w:t>. ДОПОЛНИТЕЛЬНЫЕУСЛОВИЯ .</w:t>
      </w:r>
    </w:p>
    <w:p>
      <w:pPr>
        <w:pStyle w:val="Normal"/>
        <w:autoSpaceDE w:val="false"/>
        <w:spacing w:lineRule="auto" w:line="240" w:before="0" w:after="0"/>
        <w:ind w:left="142" w:hanging="0"/>
        <w:jc w:val="center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</w:r>
    </w:p>
    <w:p>
      <w:pPr>
        <w:pStyle w:val="Normal"/>
        <w:tabs>
          <w:tab w:val="clear" w:pos="708"/>
          <w:tab w:val="left" w:pos="880" w:leader="none"/>
        </w:tabs>
        <w:autoSpaceDE w:val="false"/>
        <w:spacing w:lineRule="auto" w:line="240" w:before="0" w:after="0"/>
        <w:ind w:left="88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ПРОТЕСТЫ, АППЕЛЯЦИИ</w:t>
      </w:r>
    </w:p>
    <w:p>
      <w:pPr>
        <w:pStyle w:val="Normal"/>
        <w:autoSpaceDE w:val="false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numPr>
          <w:ilvl w:val="1"/>
          <w:numId w:val="8"/>
        </w:numPr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Каждый протест подается в соответствии с требованиями Главы 3 СК РАФ и сопровождается денежным взносом, (размер взноса указывается в частном регламенте этапа).</w:t>
      </w:r>
    </w:p>
    <w:p>
      <w:pPr>
        <w:pStyle w:val="Normal"/>
        <w:numPr>
          <w:ilvl w:val="1"/>
          <w:numId w:val="8"/>
        </w:numPr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630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Если протест предусматривает проверку соответствия техническим требованиям нескольких участвующих в данном соревновании автомобилей, то протест подается против каждого автомобиля и сумма денежного взноса, сопровождающего протест, умножается на количество «опротестованных» автомобилей. В случае, когда для рассмотрения протеста требуется осмотр или демонтаж частей автомобиля, протестующий должен внести в виде технического залога сумму, необходимую для проведения проверок и последующего восстановления опротестованного агрегата(ов). Величину технического залога определяет Технический комиссар, как правило, на основании дилерских расценок по опротестованному автомобилю. В случае отклонения протеста технический залог передается опротестованной стороне, в случае удовлетворения – возвращается протестующей стороне</w:t>
      </w:r>
      <w:r>
        <w:rPr/>
        <w:t>.</w:t>
      </w:r>
      <w:r>
        <w:rPr>
          <w:rFonts w:cs="Times New Roman" w:ascii="Times New Roman" w:hAnsi="Times New Roman"/>
          <w:sz w:val="24"/>
          <w:szCs w:val="24"/>
        </w:rPr>
        <w:t xml:space="preserve"> Протест не может быть подан против автомобиля «в целом». Должны быть указаны конкретные параметры опротестованного автомобиля, подлежащие проверке по протесту. Отдельный протест должен подаваться на каждый подвергающийся протесту агрегат автомобиля.</w:t>
      </w:r>
    </w:p>
    <w:p>
      <w:pPr>
        <w:pStyle w:val="Normal"/>
        <w:numPr>
          <w:ilvl w:val="1"/>
          <w:numId w:val="8"/>
        </w:numPr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630"/>
        <w:jc w:val="both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случае своего несогласия с решением, принятым Коллегией Спортивных Комиссаров, Участник имеет право подать Апелляцию в РАФ. Порядок подачи Апелляции определяется Главой 3 СК РАФ.</w:t>
      </w:r>
    </w:p>
    <w:p>
      <w:pPr>
        <w:pStyle w:val="Normal"/>
        <w:autoSpaceDE w:val="false"/>
        <w:spacing w:lineRule="auto" w:line="240" w:before="0" w:after="0"/>
        <w:jc w:val="both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numPr>
          <w:ilvl w:val="0"/>
          <w:numId w:val="8"/>
        </w:numPr>
        <w:autoSpaceDE w:val="false"/>
        <w:spacing w:lineRule="auto" w:line="240" w:before="0" w:after="0"/>
        <w:jc w:val="both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 xml:space="preserve">АККРЕДИТАЦИЯ </w:t>
      </w:r>
      <w:r>
        <w:rPr>
          <w:rFonts w:cs="Times New Roman" w:ascii="Times New Roman" w:hAnsi="Times New Roman"/>
          <w:b/>
          <w:bCs/>
          <w:sz w:val="24"/>
          <w:szCs w:val="24"/>
        </w:rPr>
        <w:t>СРЕДСТВ МАССОВОЙ ИНФОРМАЦИИ</w:t>
      </w: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>.</w:t>
      </w:r>
    </w:p>
    <w:p>
      <w:pPr>
        <w:pStyle w:val="Normal"/>
        <w:autoSpaceDE w:val="false"/>
        <w:spacing w:lineRule="auto" w:line="240" w:before="0" w:after="0"/>
        <w:jc w:val="both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numPr>
          <w:ilvl w:val="1"/>
          <w:numId w:val="8"/>
        </w:numPr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Аккредитация средств массовой информации и их представителей на все этапы соревнования проводится Организатором.</w:t>
      </w:r>
    </w:p>
    <w:p>
      <w:pPr>
        <w:pStyle w:val="Normal"/>
        <w:numPr>
          <w:ilvl w:val="1"/>
          <w:numId w:val="8"/>
        </w:numPr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630"/>
        <w:jc w:val="both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Представители средств массовой информации допускаются на Трассу только после прохождения инструктажа по технике безопасности.</w:t>
      </w:r>
    </w:p>
    <w:p>
      <w:pPr>
        <w:pStyle w:val="Normal"/>
        <w:autoSpaceDE w:val="false"/>
        <w:spacing w:lineRule="auto" w:line="240" w:before="0" w:after="0"/>
        <w:jc w:val="both"/>
        <w:rPr>
          <w:rFonts w:ascii="Times New Roman" w:hAnsi="Times New Roman" w:eastAsia="Arial-BoldMT;MS Mincho" w:cs="Times New Roman"/>
          <w:b/>
          <w:b/>
          <w:bCs/>
          <w:sz w:val="20"/>
          <w:szCs w:val="20"/>
        </w:rPr>
      </w:pPr>
      <w:r>
        <w:rPr>
          <w:rFonts w:eastAsia="Arial-BoldMT;MS Mincho"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Организатор, 2023</w:t>
      </w:r>
      <w:r>
        <w:br w:type="page"/>
      </w:r>
    </w:p>
    <w:p>
      <w:pPr>
        <w:pStyle w:val="Default"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ПРИЛОЖЕНИЕ 1</w:t>
      </w:r>
    </w:p>
    <w:p>
      <w:pPr>
        <w:pStyle w:val="Default"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ВЕСОВЫЕ ГАНДИКАПЫ (зачётная группа </w:t>
      </w:r>
      <w:r>
        <w:rPr>
          <w:rFonts w:cs="Times New Roman" w:ascii="Times New Roman" w:hAnsi="Times New Roman"/>
          <w:b/>
          <w:bCs/>
          <w:sz w:val="20"/>
          <w:szCs w:val="20"/>
          <w:lang w:val="en-US"/>
        </w:rPr>
        <w:t>S</w:t>
      </w:r>
      <w:r>
        <w:rPr>
          <w:rFonts w:cs="Times New Roman" w:ascii="Times New Roman" w:hAnsi="Times New Roman"/>
          <w:b/>
          <w:bCs/>
          <w:sz w:val="20"/>
          <w:szCs w:val="20"/>
        </w:rPr>
        <w:t>1600, Туринг-Лайт)</w:t>
      </w:r>
    </w:p>
    <w:p>
      <w:pPr>
        <w:pStyle w:val="Default"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Минимальный вес автомобиля, устанавливаемый данным Приложением, зависит от результатов, достигнутых данным водителем, вне зависимости от того, на каком автомобиле он выступал (спортивный весовой гандикап).</w:t>
      </w:r>
    </w:p>
    <w:p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Спортивный весовой гандикап </w:t>
      </w:r>
    </w:p>
    <w:p>
      <w:pPr>
        <w:pStyle w:val="Default"/>
        <w:spacing w:before="0" w:after="10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1. </w:t>
      </w:r>
      <w:r>
        <w:rPr>
          <w:rFonts w:cs="Times New Roman" w:ascii="Times New Roman" w:hAnsi="Times New Roman"/>
          <w:sz w:val="20"/>
          <w:szCs w:val="20"/>
        </w:rPr>
        <w:t xml:space="preserve">Каждому Водителю на первый Этап, в которой он принимает участие, к установленному ТТ минимальному весу автомобиля добавляется весовой гандикап в размере 10 кг. </w:t>
      </w:r>
    </w:p>
    <w:p>
      <w:pPr>
        <w:pStyle w:val="Default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2. </w:t>
      </w:r>
      <w:r>
        <w:rPr>
          <w:rFonts w:cs="Times New Roman" w:ascii="Times New Roman" w:hAnsi="Times New Roman"/>
          <w:sz w:val="20"/>
          <w:szCs w:val="20"/>
        </w:rPr>
        <w:t xml:space="preserve">В зависимости от места, занятого Водителем на предыдущем Этапе к следующему Этапу, в котором он будет выступать, минимальный вес его автомобиля (с полностью экипированным Водителем) будет изменен на следующую величину: </w:t>
      </w:r>
    </w:p>
    <w:p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tbl>
      <w:tblPr>
        <w:tblW w:w="830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6"/>
        <w:gridCol w:w="567"/>
        <w:gridCol w:w="567"/>
        <w:gridCol w:w="567"/>
        <w:gridCol w:w="567"/>
        <w:gridCol w:w="567"/>
        <w:gridCol w:w="567"/>
        <w:gridCol w:w="1217"/>
      </w:tblGrid>
      <w:tr>
        <w:trPr>
          <w:trHeight w:val="350" w:hRule="atLeast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80" w:leader="none"/>
              </w:tabs>
              <w:spacing w:before="0" w:after="0"/>
              <w:ind w:right="-143" w:hanging="0"/>
              <w:rPr>
                <w:b/>
                <w:b/>
              </w:rPr>
            </w:pPr>
            <w:r>
              <w:rPr>
                <w:b/>
              </w:rPr>
              <w:t>Занятое место на этапе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143" w:hanging="0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143" w:hanging="0"/>
              <w:jc w:val="center"/>
              <w:rPr>
                <w:b/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143" w:hanging="0"/>
              <w:jc w:val="center"/>
              <w:rPr>
                <w:b/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143" w:hanging="0"/>
              <w:jc w:val="center"/>
              <w:rPr>
                <w:b/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143" w:hanging="0"/>
              <w:jc w:val="center"/>
              <w:rPr>
                <w:b/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143" w:hanging="0"/>
              <w:jc w:val="center"/>
              <w:rPr>
                <w:b/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143" w:hanging="0"/>
              <w:jc w:val="center"/>
              <w:rPr/>
            </w:pPr>
            <w:r>
              <w:rPr>
                <w:b/>
              </w:rPr>
              <w:t>7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и ниже</w:t>
            </w:r>
          </w:p>
        </w:tc>
      </w:tr>
      <w:tr>
        <w:trPr>
          <w:trHeight w:val="350" w:hRule="atLeast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143" w:hanging="0"/>
              <w:rPr/>
            </w:pPr>
            <w:r>
              <w:rPr/>
              <w:t>Изменение минимального веса, кг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143" w:hanging="0"/>
              <w:jc w:val="center"/>
              <w:rPr/>
            </w:pPr>
            <w:r>
              <w:rPr>
                <w:lang w:val="en-US"/>
              </w:rPr>
              <w:t>+</w:t>
            </w:r>
            <w:r>
              <w:rPr/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143" w:hanging="0"/>
              <w:jc w:val="center"/>
              <w:rPr/>
            </w:pPr>
            <w:r>
              <w:rPr>
                <w:lang w:val="en-US"/>
              </w:rPr>
              <w:t>+</w:t>
            </w:r>
            <w:r>
              <w:rPr/>
              <w:t>1</w:t>
            </w:r>
            <w:r>
              <w:rPr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143" w:hanging="0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  <w:r>
              <w:rPr/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143" w:hanging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143" w:hanging="0"/>
              <w:jc w:val="center"/>
              <w:rPr/>
            </w:pPr>
            <w:r>
              <w:rPr/>
              <w:t>-5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143" w:hanging="0"/>
              <w:jc w:val="center"/>
              <w:rPr/>
            </w:pPr>
            <w:r>
              <w:rPr>
                <w:lang w:val="en-US"/>
              </w:rPr>
              <w:t>-</w:t>
            </w:r>
            <w:r>
              <w:rPr/>
              <w:t>1</w:t>
            </w:r>
            <w:r>
              <w:rPr>
                <w:lang w:val="en-US"/>
              </w:rPr>
              <w:t>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143" w:hanging="0"/>
              <w:jc w:val="center"/>
              <w:rPr/>
            </w:pPr>
            <w:r>
              <w:rPr>
                <w:lang w:val="en-US"/>
              </w:rPr>
              <w:t>-</w:t>
            </w:r>
            <w:r>
              <w:rPr/>
              <w:t>15</w:t>
            </w:r>
          </w:p>
        </w:tc>
      </w:tr>
    </w:tbl>
    <w:p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Спортивный весовой гандикап начисляется в зависимости от места, занятого Водителем в своей зачётной группе.</w:t>
      </w:r>
    </w:p>
    <w:p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Вышеуказанный весовой гандикап носит накопительный характер, т.е. суммируется на протяжении всех Этапов, но при его применении общее увеличение минимального веса (относительно определенного ТТ) не должно превышать 30 кг.</w:t>
      </w:r>
    </w:p>
    <w:p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Default"/>
        <w:spacing w:before="0" w:after="10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3. </w:t>
      </w:r>
      <w:r>
        <w:rPr>
          <w:rFonts w:cs="Times New Roman" w:ascii="Times New Roman" w:hAnsi="Times New Roman"/>
          <w:sz w:val="20"/>
          <w:szCs w:val="20"/>
        </w:rPr>
        <w:t xml:space="preserve">Если Водитель принял участие в Этапе, но не классифицирован в нем (кроме случаев аннулирования результата или дисквалификации в порядке наказания), то ранее добавленный ему весовой гандикап уменьшается так же, как занявшему место за пределами первой шестёрки (на 15 кг). </w:t>
      </w:r>
    </w:p>
    <w:p>
      <w:pPr>
        <w:pStyle w:val="Default"/>
        <w:spacing w:before="0" w:after="10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4. </w:t>
      </w:r>
      <w:r>
        <w:rPr>
          <w:rFonts w:cs="Times New Roman" w:ascii="Times New Roman" w:hAnsi="Times New Roman"/>
          <w:sz w:val="20"/>
          <w:szCs w:val="20"/>
        </w:rPr>
        <w:t xml:space="preserve">Если Водитель был наказан исключением из зачета (аннулированием результата), либо пропустил один или несколько Этапов многоэтапного соревнования, то ранее добавленный ему весовой гандикап не изменяется. </w:t>
      </w:r>
    </w:p>
    <w:p>
      <w:pPr>
        <w:pStyle w:val="Default"/>
        <w:spacing w:before="0" w:after="10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5. </w:t>
      </w:r>
      <w:r>
        <w:rPr>
          <w:rFonts w:cs="Times New Roman" w:ascii="Times New Roman" w:hAnsi="Times New Roman"/>
          <w:sz w:val="20"/>
          <w:szCs w:val="20"/>
        </w:rPr>
        <w:t xml:space="preserve">Вычисление спортивного весового гандикапа для каждого автомобиля на текущую гонку проводится в следующем порядке: </w:t>
      </w:r>
    </w:p>
    <w:p>
      <w:pPr>
        <w:pStyle w:val="Default"/>
        <w:spacing w:before="0" w:after="10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−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Если полученная сумма превышает предельную величину, указанную в статье 2 то весовой гандикап принимается равным 30 кг.</w:t>
      </w:r>
    </w:p>
    <w:p>
      <w:pPr>
        <w:pStyle w:val="Default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−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 xml:space="preserve">Если весовой гандикап, вычисленный согласно статье 2, является отрицательной величиной, то установленный техническими требованиями минимальный вес может быть уменьшен на 10 кг, и дальнейшее его увеличение согласно статье 2 (к следующей гонке) производится от полученного таким образом веса. </w:t>
      </w:r>
    </w:p>
    <w:p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Общее по весовому гандикапу </w:t>
      </w:r>
    </w:p>
    <w:p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6. </w:t>
      </w:r>
      <w:r>
        <w:rPr>
          <w:rFonts w:cs="Times New Roman" w:ascii="Times New Roman" w:hAnsi="Times New Roman"/>
          <w:sz w:val="20"/>
          <w:szCs w:val="20"/>
        </w:rPr>
        <w:t xml:space="preserve">Минимальный вес, указанный в технических требованиях зачётной группы и дополненный в соответствии с выше изложенным должен соблюдаться на протяжении всех заездов. </w:t>
      </w:r>
    </w:p>
    <w:p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numPr>
          <w:ilvl w:val="1"/>
          <w:numId w:val="10"/>
        </w:numPr>
        <w:autoSpaceDE w:val="false"/>
        <w:spacing w:lineRule="auto" w:line="240" w:before="0" w:after="0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Для автомобилей зачетной группы «</w:t>
      </w:r>
      <w:r>
        <w:rPr>
          <w:rFonts w:cs="Times New Roman" w:ascii="Times New Roman" w:hAnsi="Times New Roman"/>
          <w:iCs/>
          <w:sz w:val="20"/>
          <w:szCs w:val="20"/>
          <w:lang w:val="en-US"/>
        </w:rPr>
        <w:t>S</w:t>
      </w:r>
      <w:r>
        <w:rPr>
          <w:rFonts w:cs="Times New Roman" w:ascii="Times New Roman" w:hAnsi="Times New Roman"/>
          <w:iCs/>
          <w:sz w:val="20"/>
          <w:szCs w:val="20"/>
        </w:rPr>
        <w:t>1600» минимальный вес автомобиля с Водителем в полной экипировке должен соответствовать п.201 Приложения 26 КиТТ. Редакции 2021года</w:t>
      </w:r>
    </w:p>
    <w:p>
      <w:pPr>
        <w:pStyle w:val="Normal"/>
        <w:numPr>
          <w:ilvl w:val="1"/>
          <w:numId w:val="10"/>
        </w:numPr>
        <w:autoSpaceDE w:val="false"/>
        <w:spacing w:lineRule="auto" w:line="240" w:before="0" w:after="0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Для автомобилей зачетной группы «</w:t>
      </w:r>
      <w:r>
        <w:rPr>
          <w:rFonts w:cs="Times New Roman" w:ascii="Times New Roman" w:hAnsi="Times New Roman"/>
          <w:iCs/>
          <w:sz w:val="20"/>
          <w:szCs w:val="20"/>
          <w:lang w:val="en-US"/>
        </w:rPr>
        <w:t>S</w:t>
      </w:r>
      <w:r>
        <w:rPr>
          <w:rFonts w:cs="Times New Roman" w:ascii="Times New Roman" w:hAnsi="Times New Roman"/>
          <w:iCs/>
          <w:sz w:val="20"/>
          <w:szCs w:val="20"/>
        </w:rPr>
        <w:t xml:space="preserve">1600» А-5723 минимальный вес автомобиля с Водителем в полной экипировке должен соответствовать Ст 5.п.5.1 Приложения 26 КиТТ. Редакции 2014 года </w:t>
      </w:r>
      <w:r>
        <w:rPr/>
        <w:t xml:space="preserve"> </w:t>
      </w:r>
      <w:r>
        <w:rPr>
          <w:rFonts w:cs="Times New Roman" w:ascii="Times New Roman" w:hAnsi="Times New Roman"/>
          <w:bCs/>
          <w:sz w:val="20"/>
          <w:szCs w:val="20"/>
        </w:rPr>
        <w:t>Утверждены Советом РАФ по спорту</w:t>
      </w:r>
      <w:r>
        <w:rPr>
          <w:b/>
          <w:bCs/>
          <w:sz w:val="20"/>
          <w:szCs w:val="20"/>
        </w:rPr>
        <w:t xml:space="preserve"> </w:t>
      </w:r>
      <w:r>
        <w:rPr>
          <w:rFonts w:cs="Times New Roman" w:ascii="Times New Roman" w:hAnsi="Times New Roman"/>
          <w:bCs/>
          <w:sz w:val="20"/>
          <w:szCs w:val="20"/>
        </w:rPr>
        <w:t>27.11.2013</w:t>
      </w:r>
    </w:p>
    <w:p>
      <w:pPr>
        <w:pStyle w:val="Normal"/>
        <w:numPr>
          <w:ilvl w:val="1"/>
          <w:numId w:val="10"/>
        </w:numPr>
        <w:autoSpaceDE w:val="false"/>
        <w:spacing w:lineRule="auto" w:line="240" w:before="0" w:after="0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Для автомобилей зачетной группы «Туринг-Лайт» минимальный вес автомобиля с Водителем в полной экипировке должен соответствовать п.201 Приложения 28 КиТТ Редакции 2023года.</w:t>
      </w:r>
    </w:p>
    <w:p>
      <w:pPr>
        <w:pStyle w:val="Normal"/>
        <w:autoSpaceDE w:val="false"/>
        <w:spacing w:lineRule="auto" w:line="240" w:before="0" w:after="0"/>
        <w:ind w:left="426" w:hanging="0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</w:r>
    </w:p>
    <w:p>
      <w:pPr>
        <w:pStyle w:val="Normal"/>
        <w:autoSpaceDE w:val="false"/>
        <w:spacing w:lineRule="auto" w:line="240" w:before="0" w:after="0"/>
        <w:ind w:left="786" w:hanging="0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</w:r>
    </w:p>
    <w:p>
      <w:pPr>
        <w:pStyle w:val="Normal"/>
        <w:autoSpaceDE w:val="false"/>
        <w:spacing w:lineRule="auto" w:line="240" w:before="0" w:after="0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cs="Times New Roman"/>
          <w:iCs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cs="Times New Roman"/>
          <w:iCs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cs="Times New Roman"/>
          <w:iCs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cs="Times New Roman"/>
          <w:iCs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</w:r>
    </w:p>
    <w:p>
      <w:pPr>
        <w:pStyle w:val="Normal"/>
        <w:autoSpaceDE w:val="false"/>
        <w:spacing w:lineRule="auto" w:line="240" w:before="0" w:after="0"/>
        <w:rPr/>
      </w:pPr>
      <w:r>
        <w:rPr/>
      </w:r>
    </w:p>
    <w:p>
      <w:pPr>
        <w:pStyle w:val="Normal"/>
        <w:autoSpaceDE w:val="false"/>
        <w:spacing w:lineRule="auto" w:line="240" w:before="0" w:after="0"/>
        <w:rPr/>
      </w:pPr>
      <w:r>
        <w:rPr/>
      </w:r>
    </w:p>
    <w:p>
      <w:pPr>
        <w:pStyle w:val="Normal"/>
        <w:autoSpaceDE w:val="false"/>
        <w:spacing w:lineRule="auto" w:line="240" w:before="0" w:after="0"/>
        <w:rPr/>
      </w:pPr>
      <w:r>
        <w:rPr/>
      </w:r>
    </w:p>
    <w:p>
      <w:pPr>
        <w:pStyle w:val="Normal"/>
        <w:autoSpaceDE w:val="false"/>
        <w:spacing w:lineRule="auto" w:line="240" w:before="0" w:after="0"/>
        <w:rPr/>
      </w:pPr>
      <w:r>
        <w:rPr/>
      </w:r>
    </w:p>
    <w:p>
      <w:pPr>
        <w:pStyle w:val="Normal"/>
        <w:autoSpaceDE w:val="false"/>
        <w:spacing w:lineRule="auto" w:line="240" w:before="0" w:after="0"/>
        <w:rPr/>
      </w:pPr>
      <w:r>
        <w:rPr/>
      </w:r>
    </w:p>
    <w:p>
      <w:pPr>
        <w:pStyle w:val="Normal"/>
        <w:autoSpaceDE w:val="false"/>
        <w:spacing w:lineRule="auto" w:line="240" w:before="0" w:after="0"/>
        <w:rPr/>
      </w:pPr>
      <w:r>
        <w:rPr/>
      </w:r>
    </w:p>
    <w:p>
      <w:pPr>
        <w:pStyle w:val="Normal"/>
        <w:autoSpaceDE w:val="false"/>
        <w:spacing w:lineRule="auto" w:line="240" w:before="0" w:after="0"/>
        <w:rPr/>
      </w:pPr>
      <w:r>
        <w:rPr/>
      </w:r>
    </w:p>
    <w:p>
      <w:pPr>
        <w:pStyle w:val="Normal"/>
        <w:autoSpaceDE w:val="false"/>
        <w:spacing w:lineRule="auto" w:line="240" w:before="0" w:after="0"/>
        <w:rPr/>
      </w:pPr>
      <w:r>
        <w:rPr/>
        <w:t>Приложение 2</w:t>
      </w:r>
    </w:p>
    <w:p>
      <w:pPr>
        <w:pStyle w:val="Normal"/>
        <w:spacing w:before="0" w:after="0"/>
        <w:rPr>
          <w:vanish/>
        </w:rPr>
      </w:pPr>
      <w:r>
        <w:rPr>
          <w:vanish/>
        </w:rPr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5">
                <wp:simplePos x="0" y="0"/>
                <wp:positionH relativeFrom="margin">
                  <wp:align>center</wp:align>
                </wp:positionH>
                <wp:positionV relativeFrom="paragraph">
                  <wp:posOffset>163195</wp:posOffset>
                </wp:positionV>
                <wp:extent cx="6130925" cy="20955"/>
                <wp:effectExtent l="0" t="0" r="0" b="0"/>
                <wp:wrapSquare wrapText="bothSides"/>
                <wp:docPr id="4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0925" cy="2095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9655" w:type="dxa"/>
                              <w:jc w:val="left"/>
                              <w:tblInd w:w="-5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6115"/>
                              <w:gridCol w:w="1946"/>
                              <w:gridCol w:w="1594"/>
                            </w:tblGrid>
                            <w:tr>
                              <w:trPr>
                                <w:trHeight w:val="413" w:hRule="atLeast"/>
                                <w:cantSplit w:val="true"/>
                              </w:trPr>
                              <w:tc>
                                <w:tcPr>
                                  <w:tcW w:w="611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/>
                                      <w:bCs/>
                                      <w:i/>
                                      <w:i/>
                                      <w:iCs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bCs/>
                                      <w:i/>
                                      <w:iCs/>
                                    </w:rPr>
                                    <w:t>Чемпионат и первенство Нижегородской области по автомобильным кольцевым гонкам серии NLS  2023 г.</w:t>
                                  </w:r>
                                </w:p>
                                <w:p>
                                  <w:pPr>
                                    <w:pStyle w:val="Normal"/>
                                    <w:spacing w:before="0" w:after="20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/>
                                      <w:bCs/>
                                      <w:i/>
                                      <w:i/>
                                      <w:iCs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bCs/>
                                      <w:i/>
                                      <w:iCs/>
                                    </w:rPr>
                                    <w:t>____ЭТАП</w:t>
                                  </w:r>
                                </w:p>
                              </w:tc>
                              <w:tc>
                                <w:tcPr>
                                  <w:tcW w:w="1946" w:type="dxa"/>
                                  <w:tcBorders>
                                    <w:top w:val="single" w:sz="4" w:space="0" w:color="000000"/>
                                    <w:left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before="0" w:after="20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зачетная группа/команда</w:t>
                                  </w:r>
                                </w:p>
                              </w:tc>
                              <w:tc>
                                <w:tcPr>
                                  <w:tcW w:w="1594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before="0" w:after="20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стартовый №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1" w:hRule="atLeast"/>
                                <w:cantSplit w:val="true"/>
                              </w:trPr>
                              <w:tc>
                                <w:tcPr>
                                  <w:tcW w:w="611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before="0" w:after="20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46" w:type="dxa"/>
                                  <w:tcBorders>
                                    <w:top w:val="single" w:sz="4" w:space="0" w:color="000000"/>
                                    <w:left w:val="doub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before="0" w:after="20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594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before="0" w:after="20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482.75pt;height:1.65pt;mso-wrap-distance-left:9pt;mso-wrap-distance-right:9pt;mso-wrap-distance-top:0pt;mso-wrap-distance-bottom:0pt;margin-top:12.85pt;mso-position-vertical-relative:text;margin-left:0pt;mso-position-horizontal:center;mso-position-horizontal-relative:margin">
                <v:fill opacity="0f"/>
                <v:textbox inset="0in,0in,0in,0in">
                  <w:txbxContent>
                    <w:tbl>
                      <w:tblPr>
                        <w:tblW w:w="9655" w:type="dxa"/>
                        <w:jc w:val="left"/>
                        <w:tblInd w:w="-5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6115"/>
                        <w:gridCol w:w="1946"/>
                        <w:gridCol w:w="1594"/>
                      </w:tblGrid>
                      <w:tr>
                        <w:trPr>
                          <w:trHeight w:val="413" w:hRule="atLeast"/>
                          <w:cantSplit w:val="true"/>
                        </w:trPr>
                        <w:tc>
                          <w:tcPr>
                            <w:tcW w:w="6115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bCs/>
                                <w:i/>
                                <w:i/>
                                <w:iCs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bCs/>
                                <w:i/>
                                <w:iCs/>
                              </w:rPr>
                              <w:t>Чемпионат и первенство Нижегородской области по автомобильным кольцевым гонкам серии NLS  2023 г.</w:t>
                            </w:r>
                          </w:p>
                          <w:p>
                            <w:pPr>
                              <w:pStyle w:val="Normal"/>
                              <w:spacing w:before="0" w:after="20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bCs/>
                                <w:i/>
                                <w:i/>
                                <w:iCs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bCs/>
                                <w:i/>
                                <w:iCs/>
                              </w:rPr>
                              <w:t>____ЭТАП</w:t>
                            </w:r>
                          </w:p>
                        </w:tc>
                        <w:tc>
                          <w:tcPr>
                            <w:tcW w:w="1946" w:type="dxa"/>
                            <w:tcBorders>
                              <w:top w:val="single" w:sz="4" w:space="0" w:color="000000"/>
                              <w:left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>
                            <w:pPr>
                              <w:pStyle w:val="Normal"/>
                              <w:spacing w:before="0" w:after="20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  <w:t>зачетная группа/команда</w:t>
                            </w:r>
                          </w:p>
                        </w:tc>
                        <w:tc>
                          <w:tcPr>
                            <w:tcW w:w="1594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>
                            <w:pPr>
                              <w:pStyle w:val="Normal"/>
                              <w:spacing w:before="0" w:after="20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  <w:t>стартовый №</w:t>
                            </w:r>
                          </w:p>
                        </w:tc>
                      </w:tr>
                      <w:tr>
                        <w:trPr>
                          <w:trHeight w:val="71" w:hRule="atLeast"/>
                          <w:cantSplit w:val="true"/>
                        </w:trPr>
                        <w:tc>
                          <w:tcPr>
                            <w:tcW w:w="6115" w:type="dxa"/>
                            <w:vMerge w:val="continue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snapToGrid w:val="false"/>
                              <w:spacing w:before="0" w:after="20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</w:r>
                          </w:p>
                        </w:tc>
                        <w:tc>
                          <w:tcPr>
                            <w:tcW w:w="1946" w:type="dxa"/>
                            <w:tcBorders>
                              <w:top w:val="single" w:sz="4" w:space="0" w:color="000000"/>
                              <w:left w:val="doub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snapToGrid w:val="false"/>
                              <w:spacing w:before="0" w:after="20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</w:r>
                          </w:p>
                        </w:tc>
                        <w:tc>
                          <w:tcPr>
                            <w:tcW w:w="1594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snapToGrid w:val="false"/>
                              <w:spacing w:before="0" w:after="20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tbl>
      <w:tblPr>
        <w:tblW w:w="10173" w:type="dxa"/>
        <w:jc w:val="left"/>
        <w:tblInd w:w="-1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3"/>
        <w:gridCol w:w="732"/>
        <w:gridCol w:w="117"/>
        <w:gridCol w:w="848"/>
        <w:gridCol w:w="811"/>
        <w:gridCol w:w="66"/>
        <w:gridCol w:w="538"/>
        <w:gridCol w:w="114"/>
        <w:gridCol w:w="456"/>
        <w:gridCol w:w="86"/>
        <w:gridCol w:w="198"/>
        <w:gridCol w:w="737"/>
        <w:gridCol w:w="851"/>
        <w:gridCol w:w="680"/>
        <w:gridCol w:w="57"/>
        <w:gridCol w:w="227"/>
        <w:gridCol w:w="595"/>
        <w:gridCol w:w="284"/>
        <w:gridCol w:w="540"/>
        <w:gridCol w:w="281"/>
        <w:gridCol w:w="415"/>
        <w:gridCol w:w="152"/>
        <w:gridCol w:w="285"/>
        <w:gridCol w:w="570"/>
      </w:tblGrid>
      <w:tr>
        <w:trPr>
          <w:trHeight w:val="572" w:hRule="atLeast"/>
          <w:cantSplit w:val="true"/>
        </w:trPr>
        <w:tc>
          <w:tcPr>
            <w:tcW w:w="533" w:type="dxa"/>
            <w:tcBorders/>
          </w:tcPr>
          <w:p>
            <w:pPr>
              <w:pStyle w:val="TableHeading"/>
              <w:spacing w:before="0" w:after="200"/>
              <w:rPr/>
            </w:pPr>
            <w:r>
              <w:rPr/>
            </w:r>
          </w:p>
        </w:tc>
        <w:tc>
          <w:tcPr>
            <w:tcW w:w="9640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Heading1"/>
              <w:spacing w:before="24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ЗАЯВКА НА УЧАСТИЕ</w:t>
            </w:r>
          </w:p>
        </w:tc>
      </w:tr>
      <w:tr>
        <w:trPr>
          <w:trHeight w:val="529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03" w:type="dxa"/>
            <w:gridSpan w:val="11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УЧАСТНИК (ЗАЯВИТЕЛЬ)</w:t>
            </w:r>
          </w:p>
        </w:tc>
        <w:tc>
          <w:tcPr>
            <w:tcW w:w="4937" w:type="dxa"/>
            <w:gridSpan w:val="12"/>
            <w:tcBorders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АВТОМОБИЛЬ</w:t>
            </w:r>
          </w:p>
        </w:tc>
      </w:tr>
      <w:tr>
        <w:trPr>
          <w:trHeight w:val="437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03" w:type="dxa"/>
            <w:gridSpan w:val="11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Наименование: </w:t>
            </w:r>
          </w:p>
        </w:tc>
        <w:tc>
          <w:tcPr>
            <w:tcW w:w="4937" w:type="dxa"/>
            <w:gridSpan w:val="1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Модель: </w:t>
            </w:r>
          </w:p>
        </w:tc>
      </w:tr>
      <w:tr>
        <w:trPr>
          <w:trHeight w:val="402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03" w:type="dxa"/>
            <w:gridSpan w:val="11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Лицензия (ФИА, РАФ) №</w:t>
            </w:r>
          </w:p>
        </w:tc>
        <w:tc>
          <w:tcPr>
            <w:tcW w:w="4937" w:type="dxa"/>
            <w:gridSpan w:val="1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Рабочий объем двигателя: </w:t>
            </w:r>
          </w:p>
        </w:tc>
      </w:tr>
      <w:tr>
        <w:trPr>
          <w:trHeight w:val="449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Адрес</w:t>
            </w: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Индекс </w:t>
            </w:r>
          </w:p>
        </w:tc>
        <w:tc>
          <w:tcPr>
            <w:tcW w:w="2129" w:type="dxa"/>
            <w:gridSpan w:val="6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Страна </w:t>
            </w:r>
          </w:p>
        </w:tc>
        <w:tc>
          <w:tcPr>
            <w:tcW w:w="4937" w:type="dxa"/>
            <w:gridSpan w:val="1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Группа/класс </w:t>
            </w:r>
          </w:p>
        </w:tc>
      </w:tr>
      <w:tr>
        <w:trPr>
          <w:trHeight w:val="555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9" w:type="dxa"/>
            <w:gridSpan w:val="2"/>
            <w:vMerge w:val="continue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8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Город: </w:t>
            </w:r>
          </w:p>
        </w:tc>
        <w:tc>
          <w:tcPr>
            <w:tcW w:w="1588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Подготовка автомобиля (ненужное зачеркнуть)</w:t>
            </w:r>
          </w:p>
        </w:tc>
        <w:tc>
          <w:tcPr>
            <w:tcW w:w="164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Международная регистрация</w:t>
            </w:r>
          </w:p>
        </w:tc>
        <w:tc>
          <w:tcPr>
            <w:tcW w:w="170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Действующие КиТТ</w:t>
            </w:r>
          </w:p>
        </w:tc>
      </w:tr>
      <w:tr>
        <w:trPr>
          <w:trHeight w:val="419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9" w:type="dxa"/>
            <w:gridSpan w:val="2"/>
            <w:vMerge w:val="continue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377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Ул.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кв.</w:t>
            </w:r>
          </w:p>
        </w:tc>
        <w:tc>
          <w:tcPr>
            <w:tcW w:w="1588" w:type="dxa"/>
            <w:gridSpan w:val="3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46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03" w:type="dxa"/>
            <w:gridSpan w:val="5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03" w:type="dxa"/>
            <w:gridSpan w:val="11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(Код) Телефон: </w:t>
            </w:r>
          </w:p>
        </w:tc>
        <w:tc>
          <w:tcPr>
            <w:tcW w:w="3515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Согласие на размещение рекламы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65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03" w:type="dxa"/>
            <w:gridSpan w:val="11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Heading1"/>
              <w:spacing w:before="24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ВОДИТЕЛЬ</w:t>
            </w:r>
          </w:p>
        </w:tc>
        <w:tc>
          <w:tcPr>
            <w:tcW w:w="4937" w:type="dxa"/>
            <w:gridSpan w:val="1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МЕХАНИК</w:t>
            </w:r>
          </w:p>
        </w:tc>
      </w:tr>
      <w:tr>
        <w:trPr>
          <w:trHeight w:val="301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4703" w:type="dxa"/>
            <w:gridSpan w:val="11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Фамилия: </w:t>
            </w:r>
          </w:p>
        </w:tc>
        <w:tc>
          <w:tcPr>
            <w:tcW w:w="4937" w:type="dxa"/>
            <w:gridSpan w:val="1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Фамилия: </w:t>
            </w:r>
          </w:p>
        </w:tc>
      </w:tr>
      <w:tr>
        <w:trPr>
          <w:trHeight w:val="420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03" w:type="dxa"/>
            <w:gridSpan w:val="11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Имя: </w:t>
            </w:r>
          </w:p>
        </w:tc>
        <w:tc>
          <w:tcPr>
            <w:tcW w:w="4937" w:type="dxa"/>
            <w:gridSpan w:val="1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Имя: </w:t>
            </w:r>
          </w:p>
        </w:tc>
      </w:tr>
      <w:tr>
        <w:trPr>
          <w:trHeight w:val="425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03" w:type="dxa"/>
            <w:gridSpan w:val="11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Гражданство: </w:t>
            </w:r>
          </w:p>
        </w:tc>
        <w:tc>
          <w:tcPr>
            <w:tcW w:w="4937" w:type="dxa"/>
            <w:gridSpan w:val="1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Гражданство: </w:t>
            </w:r>
          </w:p>
        </w:tc>
      </w:tr>
      <w:tr>
        <w:trPr>
          <w:trHeight w:val="417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08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Дата рождения: </w:t>
            </w:r>
          </w:p>
        </w:tc>
        <w:tc>
          <w:tcPr>
            <w:tcW w:w="2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Спортивное звание: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Дата рождения: </w:t>
            </w:r>
          </w:p>
        </w:tc>
        <w:tc>
          <w:tcPr>
            <w:tcW w:w="25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Спорт. звание: </w:t>
            </w:r>
          </w:p>
        </w:tc>
      </w:tr>
      <w:tr>
        <w:trPr>
          <w:trHeight w:val="424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Адрес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Индекс </w:t>
            </w:r>
          </w:p>
        </w:tc>
        <w:tc>
          <w:tcPr>
            <w:tcW w:w="2129" w:type="dxa"/>
            <w:gridSpan w:val="6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Страна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Адрес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Индекс </w:t>
            </w:r>
          </w:p>
        </w:tc>
        <w:tc>
          <w:tcPr>
            <w:tcW w:w="22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Страна </w:t>
            </w:r>
          </w:p>
        </w:tc>
      </w:tr>
      <w:tr>
        <w:trPr>
          <w:trHeight w:val="416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2" w:type="dxa"/>
            <w:vMerge w:val="continue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9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Город: 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0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Город: </w:t>
            </w:r>
          </w:p>
        </w:tc>
      </w:tr>
      <w:tr>
        <w:trPr>
          <w:trHeight w:val="435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2" w:type="dxa"/>
            <w:vMerge w:val="continue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38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ул. </w:t>
            </w:r>
          </w:p>
        </w:tc>
        <w:tc>
          <w:tcPr>
            <w:tcW w:w="65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д.</w:t>
            </w:r>
          </w:p>
        </w:tc>
        <w:tc>
          <w:tcPr>
            <w:tcW w:w="935" w:type="dxa"/>
            <w:gridSpan w:val="2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кв.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3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д.</w:t>
            </w:r>
          </w:p>
        </w:tc>
        <w:tc>
          <w:tcPr>
            <w:tcW w:w="1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кв.</w:t>
            </w:r>
          </w:p>
        </w:tc>
      </w:tr>
      <w:tr>
        <w:trPr>
          <w:trHeight w:val="427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03" w:type="dxa"/>
            <w:gridSpan w:val="11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Телефон: </w:t>
            </w:r>
          </w:p>
        </w:tc>
        <w:tc>
          <w:tcPr>
            <w:tcW w:w="4937" w:type="dxa"/>
            <w:gridSpan w:val="1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Телефон: </w:t>
            </w:r>
          </w:p>
        </w:tc>
      </w:tr>
      <w:tr>
        <w:trPr>
          <w:trHeight w:val="420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03" w:type="dxa"/>
            <w:gridSpan w:val="11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Лицензия водителя (ФИА, РАФ) №</w:t>
            </w:r>
          </w:p>
        </w:tc>
        <w:tc>
          <w:tcPr>
            <w:tcW w:w="4937" w:type="dxa"/>
            <w:gridSpan w:val="1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Лицензия (ФИА, РАФ)</w:t>
            </w:r>
          </w:p>
        </w:tc>
      </w:tr>
      <w:tr>
        <w:trPr>
          <w:trHeight w:val="426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03" w:type="dxa"/>
            <w:gridSpan w:val="11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Подпись:</w:t>
            </w:r>
          </w:p>
        </w:tc>
        <w:tc>
          <w:tcPr>
            <w:tcW w:w="4937" w:type="dxa"/>
            <w:gridSpan w:val="1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Подпись:</w:t>
            </w:r>
          </w:p>
        </w:tc>
      </w:tr>
      <w:tr>
        <w:trPr/>
        <w:tc>
          <w:tcPr>
            <w:tcW w:w="2230" w:type="dxa"/>
            <w:gridSpan w:val="4"/>
            <w:tcBorders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Дата________________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before="0" w:after="20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Подпись заявителя</w:t>
            </w:r>
          </w:p>
        </w:tc>
        <w:tc>
          <w:tcPr>
            <w:tcW w:w="7943" w:type="dxa"/>
            <w:gridSpan w:val="20"/>
            <w:tcBorders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230" w:type="dxa"/>
            <w:gridSpan w:val="4"/>
            <w:tcBorders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gridSpan w:val="5"/>
            <w:tcBorders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268" w:type="dxa"/>
            <w:gridSpan w:val="3"/>
            <w:tcBorders/>
            <w:tcMar>
              <w:left w:w="108" w:type="dxa"/>
              <w:right w:w="108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(фамилия)</w:t>
            </w:r>
          </w:p>
        </w:tc>
        <w:tc>
          <w:tcPr>
            <w:tcW w:w="284" w:type="dxa"/>
            <w:gridSpan w:val="2"/>
            <w:tcBorders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52" w:type="dxa"/>
            <w:gridSpan w:val="7"/>
            <w:tcBorders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70" w:type="dxa"/>
            <w:tcBorders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autoSpaceDE w:val="false"/>
        <w:spacing w:lineRule="auto" w:line="240" w:before="0" w:after="0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ПРИЛОЖЕНИЕ 3</w:t>
      </w:r>
    </w:p>
    <w:p>
      <w:pPr>
        <w:pStyle w:val="Normal"/>
        <w:autoSpaceDE w:val="false"/>
        <w:spacing w:lineRule="auto" w:line="240" w:before="0" w:after="0"/>
        <w:jc w:val="center"/>
        <w:rPr/>
      </w:pPr>
      <w:r>
        <w:rPr/>
        <w:t>Шины.</w:t>
      </w:r>
    </w:p>
    <w:tbl>
      <w:tblPr>
        <w:tblW w:w="10693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8"/>
        <w:gridCol w:w="2670"/>
        <w:gridCol w:w="2671"/>
        <w:gridCol w:w="14"/>
        <w:gridCol w:w="2659"/>
        <w:gridCol w:w="11"/>
      </w:tblGrid>
      <w:tr>
        <w:trPr/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/>
            </w:pPr>
            <w:r>
              <w:rPr/>
              <w:t>Зачётная группа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/>
            </w:pPr>
            <w:r>
              <w:rPr/>
              <w:t>Марка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/>
            </w:pPr>
            <w:r>
              <w:rPr/>
              <w:t>Типоразмер</w:t>
            </w:r>
          </w:p>
        </w:tc>
        <w:tc>
          <w:tcPr>
            <w:tcW w:w="2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/>
            </w:pPr>
            <w:r>
              <w:rPr/>
              <w:t>Размер</w:t>
            </w:r>
          </w:p>
        </w:tc>
      </w:tr>
      <w:tr>
        <w:trPr>
          <w:trHeight w:val="510" w:hRule="atLeast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b/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  <w:lang w:val="en-US"/>
              </w:rPr>
              <w:t>S 1600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Yokohama A 048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R14</w:t>
            </w:r>
          </w:p>
          <w:p>
            <w:pPr>
              <w:pStyle w:val="Heading1"/>
              <w:shd w:fill="FFFFFF" w:val="clear"/>
              <w:spacing w:before="0" w:after="90"/>
              <w:jc w:val="center"/>
              <w:rPr>
                <w:rFonts w:ascii="Calibri" w:hAnsi="Calibri" w:cs="Calibri"/>
                <w:b w:val="false"/>
                <w:b w:val="false"/>
                <w:bCs w:val="false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 w:ascii="Calibri" w:hAnsi="Calibri"/>
                <w:b w:val="false"/>
                <w:bCs w:val="false"/>
                <w:color w:val="000000"/>
                <w:sz w:val="24"/>
                <w:szCs w:val="24"/>
                <w:lang w:val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b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2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185/55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</w:r>
          </w:p>
        </w:tc>
      </w:tr>
      <w:tr>
        <w:trPr>
          <w:trHeight w:val="510" w:hRule="atLeast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  <w:lang w:val="en-US"/>
              </w:rPr>
              <w:t>S 1600</w:t>
            </w:r>
            <w:r>
              <w:rPr>
                <w:b/>
                <w:sz w:val="28"/>
                <w:szCs w:val="28"/>
              </w:rPr>
              <w:t>»</w:t>
            </w:r>
            <w:r>
              <w:rPr>
                <w:b/>
                <w:sz w:val="28"/>
                <w:szCs w:val="28"/>
                <w:lang w:val="en-US"/>
              </w:rPr>
              <w:t xml:space="preserve"> A-5723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Yokohama A 048</w:t>
            </w:r>
          </w:p>
          <w:p>
            <w:pPr>
              <w:pStyle w:val="Heading1"/>
              <w:shd w:fill="FFFFFF" w:val="clear"/>
              <w:spacing w:before="0" w:after="90"/>
              <w:jc w:val="center"/>
              <w:rPr>
                <w:rFonts w:ascii="Calibri" w:hAnsi="Calibri" w:cs="Calibri"/>
                <w:bCs w:val="false"/>
                <w:color w:val="000000"/>
                <w:sz w:val="24"/>
                <w:szCs w:val="24"/>
                <w:lang w:val="en-US"/>
              </w:rPr>
            </w:pPr>
            <w:r>
              <w:rPr>
                <w:rStyle w:val="Inplace"/>
                <w:rFonts w:cs="Calibri" w:ascii="Calibri" w:hAnsi="Calibri"/>
                <w:bCs/>
                <w:color w:val="000000"/>
                <w:sz w:val="24"/>
                <w:szCs w:val="24"/>
                <w:lang w:val="en-US"/>
              </w:rPr>
              <w:t>Toyo Proxes R888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Мастер-Спорт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R14</w:t>
            </w:r>
          </w:p>
          <w:p>
            <w:pPr>
              <w:pStyle w:val="Heading1"/>
              <w:shd w:fill="FFFFFF" w:val="clear"/>
              <w:spacing w:before="0" w:after="90"/>
              <w:jc w:val="center"/>
              <w:rPr>
                <w:rFonts w:ascii="Calibri" w:hAnsi="Calibri" w:cs="Calibri"/>
                <w:bCs w:val="false"/>
                <w:color w:val="000000"/>
                <w:sz w:val="24"/>
                <w:szCs w:val="24"/>
              </w:rPr>
            </w:pPr>
            <w:r>
              <w:rPr>
                <w:rStyle w:val="Inplace"/>
                <w:rFonts w:cs="Calibri" w:ascii="Calibri" w:hAnsi="Calibri"/>
                <w:bCs/>
                <w:color w:val="000000"/>
                <w:sz w:val="24"/>
                <w:szCs w:val="24"/>
              </w:rPr>
              <w:t>R14</w:t>
            </w:r>
          </w:p>
          <w:p>
            <w:pPr>
              <w:pStyle w:val="Heading1"/>
              <w:shd w:fill="FFFFFF" w:val="clear"/>
              <w:spacing w:before="0" w:after="90"/>
              <w:jc w:val="center"/>
              <w:rPr>
                <w:rFonts w:ascii="Calibri" w:hAnsi="Calibri" w:cs="Calibri"/>
                <w:bCs w:val="false"/>
                <w:color w:val="000000"/>
                <w:sz w:val="24"/>
                <w:szCs w:val="24"/>
              </w:rPr>
            </w:pPr>
            <w:r>
              <w:rPr>
                <w:rStyle w:val="Inplace"/>
                <w:rFonts w:cs="Calibri" w:ascii="Calibri" w:hAnsi="Calibri"/>
                <w:bCs/>
                <w:color w:val="000000"/>
                <w:sz w:val="24"/>
                <w:szCs w:val="24"/>
              </w:rPr>
              <w:t>R14</w:t>
            </w:r>
          </w:p>
        </w:tc>
        <w:tc>
          <w:tcPr>
            <w:tcW w:w="2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185/55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Style w:val="Inplace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Inplace"/>
                <w:b/>
                <w:bCs/>
                <w:color w:val="000000"/>
                <w:sz w:val="24"/>
                <w:szCs w:val="24"/>
              </w:rPr>
              <w:t>185/60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185/55</w:t>
            </w:r>
          </w:p>
        </w:tc>
      </w:tr>
      <w:tr>
        <w:trPr>
          <w:trHeight w:val="1200" w:hRule="atLeast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b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«Туринг-Лайт»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>Yokohama</w:t>
            </w:r>
            <w:r>
              <w:rPr>
                <w:rFonts w:cs="Times New Roman"/>
                <w:b/>
                <w:sz w:val="24"/>
                <w:szCs w:val="24"/>
              </w:rPr>
              <w:t xml:space="preserve"> A005 Слик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>Yokohama</w:t>
            </w:r>
            <w:r>
              <w:rPr>
                <w:rFonts w:cs="Times New Roman"/>
                <w:b/>
                <w:sz w:val="24"/>
                <w:szCs w:val="24"/>
              </w:rPr>
              <w:t xml:space="preserve"> A006 Дождь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R1</w:t>
            </w:r>
            <w:r>
              <w:rPr>
                <w:b/>
                <w:sz w:val="24"/>
                <w:szCs w:val="24"/>
              </w:rPr>
              <w:t>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R1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190/560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190/560</w:t>
            </w:r>
          </w:p>
        </w:tc>
      </w:tr>
      <w:tr>
        <w:trPr>
          <w:trHeight w:val="915" w:hRule="atLeast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«Лада»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Любая дорожная с индексом «Е», «</w:t>
            </w:r>
            <w:r>
              <w:rPr>
                <w:b/>
                <w:sz w:val="24"/>
                <w:szCs w:val="24"/>
                <w:lang w:val="en-US"/>
              </w:rPr>
              <w:t>DOT</w:t>
            </w:r>
            <w:r>
              <w:rPr>
                <w:b/>
                <w:sz w:val="24"/>
                <w:szCs w:val="24"/>
              </w:rPr>
              <w:t>», «РСТ»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Yokohama A 048</w:t>
            </w:r>
          </w:p>
          <w:p>
            <w:pPr>
              <w:pStyle w:val="Heading1"/>
              <w:shd w:fill="FFFFFF" w:val="clear"/>
              <w:spacing w:before="0" w:after="90"/>
              <w:jc w:val="center"/>
              <w:rPr>
                <w:rFonts w:ascii="Calibri" w:hAnsi="Calibri" w:cs="Calibri"/>
                <w:bCs w:val="false"/>
                <w:color w:val="000000"/>
                <w:sz w:val="24"/>
                <w:szCs w:val="24"/>
              </w:rPr>
            </w:pPr>
            <w:r>
              <w:rPr>
                <w:rStyle w:val="Inplace"/>
                <w:rFonts w:cs="Calibri" w:ascii="Calibri" w:hAnsi="Calibri"/>
                <w:bCs/>
                <w:color w:val="000000"/>
                <w:sz w:val="24"/>
                <w:szCs w:val="24"/>
              </w:rPr>
              <w:t>Toyo Proxes R888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b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R14</w:t>
            </w:r>
            <w:r>
              <w:rPr>
                <w:b/>
                <w:color w:val="000000"/>
                <w:sz w:val="24"/>
                <w:szCs w:val="24"/>
              </w:rPr>
              <w:t>,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>R13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R14</w:t>
            </w:r>
          </w:p>
          <w:p>
            <w:pPr>
              <w:pStyle w:val="Heading1"/>
              <w:shd w:fill="FFFFFF" w:val="clear"/>
              <w:spacing w:before="0" w:after="90"/>
              <w:jc w:val="center"/>
              <w:rPr>
                <w:rFonts w:ascii="Calibri" w:hAnsi="Calibri" w:cs="Calibri"/>
                <w:bCs w:val="false"/>
                <w:color w:val="000000"/>
                <w:sz w:val="24"/>
                <w:szCs w:val="24"/>
              </w:rPr>
            </w:pPr>
            <w:r>
              <w:rPr>
                <w:rStyle w:val="Inplace"/>
                <w:rFonts w:cs="Calibri" w:ascii="Calibri" w:hAnsi="Calibri"/>
                <w:bCs/>
                <w:color w:val="000000"/>
                <w:sz w:val="24"/>
                <w:szCs w:val="24"/>
              </w:rPr>
              <w:t>R14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185/55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185/55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Style w:val="Inplace"/>
                <w:b/>
                <w:bCs/>
                <w:color w:val="000000"/>
                <w:sz w:val="24"/>
                <w:szCs w:val="24"/>
              </w:rPr>
              <w:t>185/60</w:t>
            </w:r>
          </w:p>
        </w:tc>
      </w:tr>
      <w:tr>
        <w:trPr>
          <w:trHeight w:val="915" w:hRule="atLeast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«Волга», «Волга 406»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Свободные</w:t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</w:r>
          </w:p>
        </w:tc>
      </w:tr>
    </w:tbl>
    <w:p>
      <w:pPr>
        <w:pStyle w:val="Normal"/>
        <w:autoSpaceDE w:val="false"/>
        <w:spacing w:lineRule="auto" w:line="240" w:before="0" w:after="0"/>
        <w:rPr/>
      </w:pPr>
      <w:r>
        <w:rPr/>
      </w:r>
    </w:p>
    <w:p>
      <w:pPr>
        <w:pStyle w:val="Normal"/>
        <w:autoSpaceDE w:val="false"/>
        <w:spacing w:lineRule="auto" w:line="240" w:before="0" w:after="0"/>
        <w:rPr/>
      </w:pPr>
      <w:r>
        <w:rPr>
          <w:rFonts w:cs="Times New Roman" w:ascii="Times New Roman" w:hAnsi="Times New Roman"/>
          <w:b/>
          <w:sz w:val="20"/>
          <w:szCs w:val="20"/>
        </w:rPr>
        <w:t>ПРИЛОЖЕНИЕ 4</w:t>
      </w:r>
    </w:p>
    <w:p>
      <w:pPr>
        <w:pStyle w:val="Normal"/>
        <w:autoSpaceDE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Топливо.</w:t>
      </w:r>
    </w:p>
    <w:p>
      <w:pPr>
        <w:pStyle w:val="Style19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 xml:space="preserve">Во всех зачётных группах в качестве топлива должен использоваться товарный неэтилированный бензин с октановым числом, определенным исследовательским методом, не выше 102 . </w:t>
      </w:r>
    </w:p>
    <w:p>
      <w:pPr>
        <w:pStyle w:val="Style19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В соревнованиях может быть предусмотрена заправка всех автомобилей единым топливом. В этом случае:</w:t>
      </w:r>
    </w:p>
    <w:p>
      <w:pPr>
        <w:pStyle w:val="Style19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Качество бензина должно удостоверяться соответствующим сертификатом.</w:t>
      </w:r>
    </w:p>
    <w:p>
      <w:pPr>
        <w:pStyle w:val="Style19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Контроль топлива осуществляется путем сравнительного анализа проб с образцами поставляемого бензина.</w:t>
      </w:r>
    </w:p>
    <w:p>
      <w:pPr>
        <w:pStyle w:val="Normal"/>
        <w:autoSpaceDE w:val="false"/>
        <w:spacing w:lineRule="auto" w:line="240" w:before="0" w:after="0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/>
          <w:color w:val="000000"/>
          <w:sz w:val="22"/>
          <w:szCs w:val="22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type w:val="nextPage"/>
      <w:pgSz w:w="11906" w:h="16838"/>
      <w:pgMar w:left="720" w:right="720" w:gutter="0" w:header="708" w:top="764" w:footer="708" w:bottom="76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cc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Tahoma">
    <w:charset w:val="cc"/>
    <w:family w:val="swiss"/>
    <w:pitch w:val="variable"/>
  </w:font>
  <w:font w:name="Times New Roman">
    <w:charset w:val="cc"/>
    <w:family w:val="roman"/>
    <w:pitch w:val="variable"/>
  </w:font>
  <w:font w:name="Arial-BoldItalicMT">
    <w:altName w:val="Times New Roman"/>
    <w:charset w:val="cc"/>
    <w:family w:val="swiss"/>
    <w:pitch w:val="default"/>
  </w:font>
  <w:font w:name="Cambria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autoSpaceDE w:val="false"/>
      <w:spacing w:lineRule="auto" w:line="240" w:before="0" w:after="0"/>
      <w:jc w:val="center"/>
      <w:rPr>
        <w:b/>
        <w:b/>
        <w:bCs/>
        <w:i/>
        <w:i/>
        <w:iCs/>
        <w:color w:val="000000"/>
        <w:sz w:val="16"/>
        <w:szCs w:val="16"/>
      </w:rPr>
    </w:pPr>
    <w:r>
      <w:rPr>
        <w:i/>
        <w:iCs/>
        <w:sz w:val="16"/>
        <w:szCs w:val="16"/>
      </w:rPr>
      <w:t xml:space="preserve">Страница </w:t>
    </w:r>
    <w:r>
      <w:rPr>
        <w:b/>
        <w:bCs/>
        <w:i/>
        <w:iCs/>
        <w:sz w:val="16"/>
        <w:szCs w:val="16"/>
      </w:rPr>
      <w:fldChar w:fldCharType="begin"/>
    </w:r>
    <w:r>
      <w:rPr>
        <w:sz w:val="16"/>
        <w:i/>
        <w:b/>
        <w:szCs w:val="16"/>
        <w:iCs/>
        <w:bCs/>
      </w:rPr>
      <w:instrText xml:space="preserve"> PAGE </w:instrText>
    </w:r>
    <w:r>
      <w:rPr>
        <w:sz w:val="16"/>
        <w:i/>
        <w:b/>
        <w:szCs w:val="16"/>
        <w:iCs/>
        <w:bCs/>
      </w:rPr>
      <w:fldChar w:fldCharType="separate"/>
    </w:r>
    <w:r>
      <w:rPr>
        <w:sz w:val="16"/>
        <w:i/>
        <w:b/>
        <w:szCs w:val="16"/>
        <w:iCs/>
        <w:bCs/>
      </w:rPr>
      <w:t>14</w:t>
    </w:r>
    <w:r>
      <w:rPr>
        <w:sz w:val="16"/>
        <w:i/>
        <w:b/>
        <w:szCs w:val="16"/>
        <w:iCs/>
        <w:bCs/>
      </w:rPr>
      <w:fldChar w:fldCharType="end"/>
    </w:r>
    <w:r>
      <w:rPr>
        <w:i/>
        <w:iCs/>
        <w:sz w:val="16"/>
        <w:szCs w:val="16"/>
      </w:rPr>
      <w:t xml:space="preserve"> из </w:t>
    </w:r>
    <w:r>
      <w:rPr>
        <w:b/>
        <w:bCs/>
        <w:i/>
        <w:iCs/>
        <w:sz w:val="16"/>
        <w:szCs w:val="16"/>
      </w:rPr>
      <w:fldChar w:fldCharType="begin"/>
    </w:r>
    <w:r>
      <w:rPr>
        <w:sz w:val="16"/>
        <w:i/>
        <w:b/>
        <w:szCs w:val="16"/>
        <w:iCs/>
        <w:bCs/>
      </w:rPr>
      <w:instrText xml:space="preserve"> NUMPAGES \* ARABIC </w:instrText>
    </w:r>
    <w:r>
      <w:rPr>
        <w:sz w:val="16"/>
        <w:i/>
        <w:b/>
        <w:szCs w:val="16"/>
        <w:iCs/>
        <w:bCs/>
      </w:rPr>
      <w:fldChar w:fldCharType="separate"/>
    </w:r>
    <w:r>
      <w:rPr>
        <w:sz w:val="16"/>
        <w:i/>
        <w:b/>
        <w:szCs w:val="16"/>
        <w:iCs/>
        <w:bCs/>
      </w:rPr>
      <w:t>14</w:t>
    </w:r>
    <w:r>
      <w:rPr>
        <w:sz w:val="16"/>
        <w:i/>
        <w:b/>
        <w:szCs w:val="16"/>
        <w:iCs/>
        <w:bCs/>
      </w:rPr>
      <w:fldChar w:fldCharType="end"/>
    </w:r>
  </w:p>
  <w:p>
    <w:pPr>
      <w:pStyle w:val="Normal"/>
      <w:autoSpaceDE w:val="false"/>
      <w:spacing w:lineRule="auto" w:line="240" w:before="0" w:after="0"/>
      <w:rPr>
        <w:rFonts w:ascii="Arial-BoldItalicMT;Times New Roman" w:hAnsi="Arial-BoldItalicMT;Times New Roman" w:cs="Arial-BoldItalicMT;Times New Roman"/>
        <w:b/>
        <w:b/>
        <w:bCs/>
        <w:i/>
        <w:i/>
        <w:iCs/>
        <w:color w:val="000000"/>
        <w:sz w:val="16"/>
        <w:szCs w:val="16"/>
      </w:rPr>
    </w:pPr>
    <w:r>
      <w:rPr>
        <w:rFonts w:cs="Arial-BoldItalicMT;Times New Roman" w:ascii="Arial-BoldItalicMT;Times New Roman" w:hAnsi="Arial-BoldItalicMT;Times New Roman"/>
        <w:b/>
        <w:bCs/>
        <w:i/>
        <w:iCs/>
        <w:color w:val="000000"/>
        <w:sz w:val="16"/>
        <w:szCs w:val="16"/>
      </w:rPr>
    </w:r>
  </w:p>
  <w:p>
    <w:pPr>
      <w:pStyle w:val="Footer"/>
      <w:rPr>
        <w:rFonts w:ascii="Arial-BoldItalicMT;Times New Roman" w:hAnsi="Arial-BoldItalicMT;Times New Roman" w:cs="Arial-BoldItalicMT;Times New Roman"/>
        <w:b/>
        <w:b/>
        <w:bCs/>
        <w:i/>
        <w:i/>
        <w:iCs/>
        <w:color w:val="000000"/>
        <w:sz w:val="16"/>
        <w:szCs w:val="16"/>
      </w:rPr>
    </w:pPr>
    <w:r>
      <w:rPr>
        <w:rFonts w:cs="Arial-BoldItalicMT;Times New Roman" w:ascii="Arial-BoldItalicMT;Times New Roman" w:hAnsi="Arial-BoldItalicMT;Times New Roman"/>
        <w:b/>
        <w:bCs/>
        <w:i/>
        <w:iCs/>
        <w:color w:val="000000"/>
        <w:sz w:val="16"/>
        <w:szCs w:val="16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pBdr>
        <w:bottom w:val="thickThinSmallGap" w:sz="24" w:space="1" w:color="622423"/>
      </w:pBdr>
      <w:rPr>
        <w:rFonts w:ascii="Arial-BoldItalicMT;Times New Roman" w:hAnsi="Arial-BoldItalicMT;Times New Roman" w:cs="Arial-BoldItalicMT;Times New Roman"/>
        <w:b/>
        <w:b/>
        <w:bCs/>
        <w:i/>
        <w:i/>
        <w:iCs/>
        <w:color w:val="000000"/>
        <w:sz w:val="16"/>
        <w:szCs w:val="16"/>
      </w:rPr>
    </w:pPr>
    <w:r>
      <w:rPr>
        <w:rFonts w:cs="Arial-BoldItalicMT;Times New Roman" w:ascii="Arial-BoldItalicMT;Times New Roman" w:hAnsi="Arial-BoldItalicMT;Times New Roman"/>
        <w:b/>
        <w:bCs/>
        <w:i/>
        <w:iCs/>
        <w:color w:val="000000"/>
        <w:sz w:val="16"/>
        <w:szCs w:val="16"/>
      </w:rPr>
      <w:t xml:space="preserve">АСК «Нижегородское кольцо»                                                                              Положение  Чемпионата </w:t>
    </w:r>
  </w:p>
  <w:p>
    <w:pPr>
      <w:pStyle w:val="Header"/>
      <w:pBdr>
        <w:bottom w:val="thickThinSmallGap" w:sz="24" w:space="1" w:color="622423"/>
      </w:pBdr>
      <w:rPr>
        <w:rFonts w:ascii="Cambria" w:hAnsi="Cambria" w:cs="Cambria"/>
        <w:sz w:val="16"/>
        <w:szCs w:val="16"/>
      </w:rPr>
    </w:pPr>
    <w:r>
      <w:rPr>
        <w:rFonts w:cs="Arial-BoldItalicMT;Times New Roman" w:ascii="Arial-BoldItalicMT;Times New Roman" w:hAnsi="Arial-BoldItalicMT;Times New Roman"/>
        <w:b/>
        <w:bCs/>
        <w:i/>
        <w:iCs/>
        <w:color w:val="000000"/>
        <w:sz w:val="16"/>
        <w:szCs w:val="16"/>
      </w:rPr>
      <w:t>РФСОО «ФРАМСНО»                                                                                                                                                 Нижегородской области 2023 года по АКГ</w:t>
    </w:r>
  </w:p>
  <w:p>
    <w:pPr>
      <w:pStyle w:val="Header"/>
      <w:rPr>
        <w:rFonts w:ascii="Cambria" w:hAnsi="Cambria" w:cs="Cambria"/>
        <w:sz w:val="16"/>
        <w:szCs w:val="16"/>
      </w:rPr>
    </w:pPr>
    <w:r>
      <w:rPr>
        <w:rFonts w:cs="Cambria" w:ascii="Cambria" w:hAnsi="Cambria"/>
        <w:sz w:val="16"/>
        <w:szCs w:val="16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/>
    </w:lvl>
  </w:abstractNum>
  <w:abstractNum w:abstractNumId="4"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b w:val="fals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562"/>
        </w:tabs>
        <w:ind w:left="562" w:hanging="420"/>
      </w:pPr>
      <w:rPr>
        <w:b/>
        <w:rFonts w:eastAsia="Arial-BoldMT;MS Minch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b/>
        <w:rFonts w:eastAsia="Arial-BoldMT;MS Minch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b/>
        <w:rFonts w:eastAsia="Arial-BoldMT;MS Mincho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b/>
        <w:rFonts w:eastAsia="Arial-BoldMT;MS Mincho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b/>
        <w:rFonts w:eastAsia="Arial-BoldMT;MS Mincho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b/>
        <w:rFonts w:eastAsia="Arial-BoldMT;MS Mincho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b/>
        <w:rFonts w:eastAsia="Arial-BoldMT;MS Minch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b/>
        <w:rFonts w:eastAsia="Arial-BoldMT;MS Mincho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562"/>
        </w:tabs>
        <w:ind w:left="562" w:hanging="420"/>
      </w:pPr>
      <w:rPr>
        <w:b/>
        <w:rFonts w:eastAsia="Arial-BoldMT;MS Minch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b/>
        <w:rFonts w:eastAsia="Arial-BoldMT;MS Minch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b/>
        <w:rFonts w:eastAsia="Arial-BoldMT;MS Mincho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b/>
        <w:rFonts w:eastAsia="Arial-BoldMT;MS Mincho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b/>
        <w:rFonts w:eastAsia="Arial-BoldMT;MS Mincho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b/>
        <w:rFonts w:eastAsia="Arial-BoldMT;MS Mincho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b/>
        <w:rFonts w:eastAsia="Arial-BoldMT;MS Minch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b/>
        <w:rFonts w:eastAsia="Arial-BoldMT;MS Mincho"/>
      </w:rPr>
    </w:lvl>
  </w:abstractNum>
  <w:abstractNum w:abstractNumId="9">
    <w:lvl w:ilvl="0">
      <w:start w:val="15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6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506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506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66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66" w:hanging="1440"/>
      </w:pPr>
      <w:rPr>
        <w:b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Calibri" w:cs="Calibri"/>
      <w:color w:val="auto"/>
      <w:sz w:val="22"/>
      <w:szCs w:val="22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40" w:before="240" w:after="60"/>
      <w:outlineLvl w:val="0"/>
    </w:pPr>
    <w:rPr>
      <w:rFonts w:ascii="Arial" w:hAnsi="Arial" w:eastAsia="Times New Roman" w:cs="Arial"/>
      <w:b/>
      <w:bCs/>
      <w:kern w:val="2"/>
      <w:sz w:val="32"/>
      <w:szCs w:val="32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1z0">
    <w:name w:val="WW8Num11z0"/>
    <w:qFormat/>
    <w:rPr/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3z0">
    <w:name w:val="WW8Num13z0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>
      <w:rFonts w:eastAsia="Arial-BoldMT;MS Mincho"/>
      <w:b/>
    </w:rPr>
  </w:style>
  <w:style w:type="character" w:styleId="WW8Num15z0">
    <w:name w:val="WW8Num15z0"/>
    <w:qFormat/>
    <w:rPr/>
  </w:style>
  <w:style w:type="character" w:styleId="WW8Num15z1">
    <w:name w:val="WW8Num15z1"/>
    <w:qFormat/>
    <w:rPr>
      <w:b w:val="false"/>
    </w:rPr>
  </w:style>
  <w:style w:type="character" w:styleId="WW8Num16z0">
    <w:name w:val="WW8Num16z0"/>
    <w:qFormat/>
    <w:rPr>
      <w:rFonts w:ascii="Symbol" w:hAnsi="Symbol" w:cs="Symbol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7z0">
    <w:name w:val="WW8Num17z0"/>
    <w:qFormat/>
    <w:rPr/>
  </w:style>
  <w:style w:type="character" w:styleId="WW8Num17z1">
    <w:name w:val="WW8Num17z1"/>
    <w:qFormat/>
    <w:rPr>
      <w:rFonts w:eastAsia="Arial-BoldMT;MS Mincho"/>
      <w:b/>
    </w:rPr>
  </w:style>
  <w:style w:type="character" w:styleId="WW8Num18z0">
    <w:name w:val="WW8Num18z0"/>
    <w:qFormat/>
    <w:rPr/>
  </w:style>
  <w:style w:type="character" w:styleId="WW8Num18z1">
    <w:name w:val="WW8Num18z1"/>
    <w:qFormat/>
    <w:rPr>
      <w:rFonts w:eastAsia="Arial-BoldMT;MS Mincho"/>
      <w:b/>
    </w:rPr>
  </w:style>
  <w:style w:type="character" w:styleId="WW8Num19z0">
    <w:name w:val="WW8Num19z0"/>
    <w:qFormat/>
    <w:rPr/>
  </w:style>
  <w:style w:type="character" w:styleId="WW8Num20z0">
    <w:name w:val="WW8Num20z0"/>
    <w:qFormat/>
    <w:rPr/>
  </w:style>
  <w:style w:type="character" w:styleId="WW8Num21z0">
    <w:name w:val="WW8Num21z0"/>
    <w:qFormat/>
    <w:rPr>
      <w:rFonts w:ascii="Symbol" w:hAnsi="Symbol" w:cs="Symbol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2z0">
    <w:name w:val="WW8Num22z0"/>
    <w:qFormat/>
    <w:rPr/>
  </w:style>
  <w:style w:type="character" w:styleId="WW8Num22z1">
    <w:name w:val="WW8Num22z1"/>
    <w:qFormat/>
    <w:rPr>
      <w:rFonts w:eastAsia="Arial-BoldMT;MS Mincho"/>
      <w:b/>
    </w:rPr>
  </w:style>
  <w:style w:type="character" w:styleId="WW8Num23z0">
    <w:name w:val="WW8Num23z0"/>
    <w:qFormat/>
    <w:rPr/>
  </w:style>
  <w:style w:type="character" w:styleId="WW8Num23z1">
    <w:name w:val="WW8Num23z1"/>
    <w:qFormat/>
    <w:rPr>
      <w:rFonts w:eastAsia="Arial-BoldMT;MS Mincho"/>
      <w:b/>
    </w:rPr>
  </w:style>
  <w:style w:type="character" w:styleId="WW8Num24z0">
    <w:name w:val="WW8Num24z0"/>
    <w:qFormat/>
    <w:rPr/>
  </w:style>
  <w:style w:type="character" w:styleId="WW8Num24z1">
    <w:name w:val="WW8Num24z1"/>
    <w:qFormat/>
    <w:rPr>
      <w:rFonts w:eastAsia="Arial-BoldMT;MS Mincho"/>
      <w:b/>
    </w:rPr>
  </w:style>
  <w:style w:type="character" w:styleId="WW8Num25z0">
    <w:name w:val="WW8Num25z0"/>
    <w:qFormat/>
    <w:rPr/>
  </w:style>
  <w:style w:type="character" w:styleId="WW8Num26z0">
    <w:name w:val="WW8Num26z0"/>
    <w:qFormat/>
    <w:rPr/>
  </w:style>
  <w:style w:type="character" w:styleId="WW8Num26z1">
    <w:name w:val="WW8Num26z1"/>
    <w:qFormat/>
    <w:rPr>
      <w:rFonts w:eastAsia="Arial-BoldMT;MS Mincho"/>
      <w:b/>
    </w:rPr>
  </w:style>
  <w:style w:type="character" w:styleId="WW8Num27z0">
    <w:name w:val="WW8Num27z0"/>
    <w:qFormat/>
    <w:rPr/>
  </w:style>
  <w:style w:type="character" w:styleId="WW8Num28z0">
    <w:name w:val="WW8Num28z0"/>
    <w:qFormat/>
    <w:rPr/>
  </w:style>
  <w:style w:type="character" w:styleId="WW8Num28z1">
    <w:name w:val="WW8Num28z1"/>
    <w:qFormat/>
    <w:rPr>
      <w:rFonts w:eastAsia="Arial-BoldMT;MS Mincho"/>
      <w:b/>
    </w:rPr>
  </w:style>
  <w:style w:type="character" w:styleId="WW8Num29z0">
    <w:name w:val="WW8Num29z0"/>
    <w:qFormat/>
    <w:rPr/>
  </w:style>
  <w:style w:type="character" w:styleId="WW8Num29z1">
    <w:name w:val="WW8Num29z1"/>
    <w:qFormat/>
    <w:rPr>
      <w:b/>
    </w:rPr>
  </w:style>
  <w:style w:type="character" w:styleId="WW8Num30z0">
    <w:name w:val="WW8Num30z0"/>
    <w:qFormat/>
    <w:rPr>
      <w:rFonts w:ascii="Symbol" w:hAnsi="Symbol" w:eastAsia="Calibri" w:cs="Times New Roman"/>
    </w:rPr>
  </w:style>
  <w:style w:type="character" w:styleId="WW8Num30z1">
    <w:name w:val="WW8Num30z1"/>
    <w:qFormat/>
    <w:rPr>
      <w:rFonts w:ascii="Courier New" w:hAnsi="Courier New" w:cs="Courier New"/>
    </w:rPr>
  </w:style>
  <w:style w:type="character" w:styleId="WW8Num30z2">
    <w:name w:val="WW8Num30z2"/>
    <w:qFormat/>
    <w:rPr>
      <w:rFonts w:ascii="Wingdings" w:hAnsi="Wingdings" w:cs="Wingdings"/>
    </w:rPr>
  </w:style>
  <w:style w:type="character" w:styleId="WW8Num30z3">
    <w:name w:val="WW8Num30z3"/>
    <w:qFormat/>
    <w:rPr>
      <w:rFonts w:ascii="Symbol" w:hAnsi="Symbol" w:cs="Symbol"/>
    </w:rPr>
  </w:style>
  <w:style w:type="character" w:styleId="WW8Num31z0">
    <w:name w:val="WW8Num31z0"/>
    <w:qFormat/>
    <w:rPr/>
  </w:style>
  <w:style w:type="character" w:styleId="WW8Num31z1">
    <w:name w:val="WW8Num31z1"/>
    <w:qFormat/>
    <w:rPr>
      <w:b/>
    </w:rPr>
  </w:style>
  <w:style w:type="character" w:styleId="WW8Num32z0">
    <w:name w:val="WW8Num32z0"/>
    <w:qFormat/>
    <w:rPr/>
  </w:style>
  <w:style w:type="character" w:styleId="Style13">
    <w:name w:val="Основной шрифт абзаца"/>
    <w:qFormat/>
    <w:rPr/>
  </w:style>
  <w:style w:type="character" w:styleId="Style14">
    <w:name w:val="Верхний колонтитул Знак"/>
    <w:qFormat/>
    <w:rPr>
      <w:rFonts w:cs="Times New Roman"/>
    </w:rPr>
  </w:style>
  <w:style w:type="character" w:styleId="Style15">
    <w:name w:val="Нижний колонтитул Знак"/>
    <w:qFormat/>
    <w:rPr>
      <w:rFonts w:cs="Times New Roman"/>
    </w:rPr>
  </w:style>
  <w:style w:type="character" w:styleId="Style16">
    <w:name w:val="Текст выноски Знак"/>
    <w:qFormat/>
    <w:rPr>
      <w:rFonts w:ascii="Tahoma" w:hAnsi="Tahoma" w:cs="Times New Roman"/>
      <w:sz w:val="16"/>
    </w:rPr>
  </w:style>
  <w:style w:type="character" w:styleId="InternetLink">
    <w:name w:val="Hyperlink"/>
    <w:rPr>
      <w:rFonts w:cs="Times New Roman"/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1">
    <w:name w:val="Заголовок 1 Знак"/>
    <w:qFormat/>
    <w:rPr>
      <w:rFonts w:ascii="Arial" w:hAnsi="Arial" w:eastAsia="Times New Roman" w:cs="Arial"/>
      <w:b/>
      <w:bCs/>
      <w:kern w:val="2"/>
      <w:sz w:val="32"/>
      <w:szCs w:val="32"/>
    </w:rPr>
  </w:style>
  <w:style w:type="character" w:styleId="Inplace">
    <w:name w:val="inplace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pacing w:lineRule="auto" w:line="240" w:before="0" w:after="0"/>
    </w:pPr>
    <w:rPr/>
  </w:style>
  <w:style w:type="paragraph" w:styleId="Footer">
    <w:name w:val="Footer"/>
    <w:basedOn w:val="Normal"/>
    <w:pPr>
      <w:spacing w:lineRule="auto" w:line="240" w:before="0" w:after="0"/>
    </w:pPr>
    <w:rPr/>
  </w:style>
  <w:style w:type="paragraph" w:styleId="Style17">
    <w:name w:val="Текст выноски"/>
    <w:basedOn w:val="Normal"/>
    <w:qFormat/>
    <w:pPr>
      <w:spacing w:lineRule="auto" w:line="240" w:before="0" w:after="0"/>
    </w:pPr>
    <w:rPr>
      <w:rFonts w:ascii="Tahoma" w:hAnsi="Tahoma" w:cs="Times New Roman"/>
      <w:sz w:val="16"/>
      <w:szCs w:val="16"/>
    </w:rPr>
  </w:style>
  <w:style w:type="paragraph" w:styleId="Style18">
    <w:name w:val="Без интервала"/>
    <w:qFormat/>
    <w:pPr>
      <w:widowControl/>
      <w:bidi w:val="0"/>
    </w:pPr>
    <w:rPr>
      <w:rFonts w:ascii="Calibri" w:hAnsi="Calibri" w:eastAsia="Calibri" w:cs="Calibri"/>
      <w:color w:val="auto"/>
      <w:sz w:val="22"/>
      <w:szCs w:val="22"/>
      <w:lang w:val="ru-RU" w:bidi="ar-SA" w:eastAsia="zh-CN"/>
    </w:rPr>
  </w:style>
  <w:style w:type="paragraph" w:styleId="Default">
    <w:name w:val="Default"/>
    <w:qFormat/>
    <w:pPr>
      <w:widowControl/>
      <w:autoSpaceDE w:val="false"/>
      <w:bidi w:val="0"/>
    </w:pPr>
    <w:rPr>
      <w:rFonts w:ascii="Calibri" w:hAnsi="Calibri" w:eastAsia="Calibri" w:cs="Calibri"/>
      <w:color w:val="000000"/>
      <w:sz w:val="24"/>
      <w:szCs w:val="24"/>
      <w:lang w:val="ru-RU" w:bidi="ar-SA" w:eastAsia="zh-CN"/>
    </w:rPr>
  </w:style>
  <w:style w:type="paragraph" w:styleId="Style19">
    <w:name w:val="Обычный (веб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Style20">
    <w:name w:val="Абзац списка"/>
    <w:basedOn w:val="Normal"/>
    <w:qFormat/>
    <w:pPr>
      <w:spacing w:lineRule="auto" w:line="256" w:before="0" w:after="160"/>
      <w:ind w:left="720" w:hanging="0"/>
      <w:contextualSpacing/>
    </w:pPr>
    <w:rPr>
      <w:rFonts w:cs="Times New Roman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hyperlink" Target="http://www.nring.ru/" TargetMode="External"/><Relationship Id="rId6" Type="http://schemas.openxmlformats.org/officeDocument/2006/relationships/hyperlink" Target="http://touring.raf-rcrs.ru/media/documents/Technical-Regulations-SMP_HC_A1_2023_1.pdf" TargetMode="External"/><Relationship Id="rId7" Type="http://schemas.openxmlformats.org/officeDocument/2006/relationships/hyperlink" Target="http://touring.raf-rcrs.ru/media/documents/Technical-Regulations-SMP_HC_A5_2023_1.pdf" TargetMode="External"/><Relationship Id="rId8" Type="http://schemas.openxmlformats.org/officeDocument/2006/relationships/hyperlink" Target="mailto:info@nring.ru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Application>LibreOffice/7.4.6.2$Linux_X86_64 LibreOffice_project/40$Build-2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2023-03-16T13:21:00Z</dcterms:created>
  <dc:creator>Гусев Дмитрий Сергеевич</dc:creator>
  <dc:description/>
  <cp:keywords/>
  <dc:language>en-US</dc:language>
  <cp:lastModifiedBy>Гусев Дмитрий Сергеевич</cp:lastModifiedBy>
  <cp:lastPrinted>2021-03-30T15:53:00Z</cp:lastPrinted>
  <dcterms:modified xsi:type="dcterms:W3CDTF">2023-03-16T13:49:00Z</dcterms:modified>
  <cp:revision>4</cp:revision>
  <dc:subject/>
  <dc:title>Регламент NLS 2018</dc:title>
</cp:coreProperties>
</file>